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5" w:rsidRDefault="003470CF" w:rsidP="00A721B3">
      <w:pPr>
        <w:pStyle w:val="3"/>
        <w:rPr>
          <w:color w:val="FF0000"/>
          <w:sz w:val="32"/>
          <w:szCs w:val="32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4266580</wp:posOffset>
            </wp:positionH>
            <wp:positionV relativeFrom="paragraph">
              <wp:posOffset>70085</wp:posOffset>
            </wp:positionV>
            <wp:extent cx="5422604" cy="4274289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71380" w:rsidRPr="00171380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96.75pt;margin-top:-38.4pt;width:223.85pt;height:21.75pt;z-index:251659264;mso-position-horizontal-relative:text;mso-position-vertical-relative:text" stroked="f">
            <v:textbox style="mso-next-textbox:#_x0000_s1071">
              <w:txbxContent>
                <w:p w:rsidR="00993415" w:rsidRPr="00C62C62" w:rsidRDefault="00993415">
                  <w:pPr>
                    <w:rPr>
                      <w:b/>
                      <w:color w:val="808000"/>
                      <w:sz w:val="26"/>
                      <w:szCs w:val="26"/>
                    </w:rPr>
                  </w:pPr>
                  <w:r>
                    <w:rPr>
                      <w:b/>
                      <w:color w:val="808000"/>
                      <w:sz w:val="26"/>
                      <w:szCs w:val="26"/>
                    </w:rPr>
                    <w:t>ЯНВАРЬ</w:t>
                  </w:r>
                  <w:r w:rsidRPr="00C62C62">
                    <w:rPr>
                      <w:b/>
                      <w:color w:val="808000"/>
                      <w:sz w:val="26"/>
                      <w:szCs w:val="26"/>
                    </w:rPr>
                    <w:t xml:space="preserve"> 201</w:t>
                  </w:r>
                  <w:r w:rsidR="00530DC5">
                    <w:rPr>
                      <w:b/>
                      <w:color w:val="808000"/>
                      <w:sz w:val="26"/>
                      <w:szCs w:val="26"/>
                    </w:rPr>
                    <w:t>8</w:t>
                  </w:r>
                  <w:r>
                    <w:rPr>
                      <w:b/>
                      <w:color w:val="808000"/>
                      <w:sz w:val="26"/>
                      <w:szCs w:val="26"/>
                    </w:rPr>
                    <w:t xml:space="preserve"> </w:t>
                  </w:r>
                  <w:r w:rsidRPr="00C62C62">
                    <w:rPr>
                      <w:b/>
                      <w:color w:val="808000"/>
                      <w:sz w:val="26"/>
                      <w:szCs w:val="26"/>
                    </w:rPr>
                    <w:t>года</w:t>
                  </w:r>
                </w:p>
              </w:txbxContent>
            </v:textbox>
          </v:shape>
        </w:pict>
      </w:r>
      <w:r w:rsidR="00171380" w:rsidRPr="00171380">
        <w:rPr>
          <w:b w:val="0"/>
          <w:noProof/>
          <w:sz w:val="28"/>
          <w:szCs w:val="28"/>
        </w:rPr>
        <w:pict>
          <v:shape id="_x0000_s1062" type="#_x0000_t202" style="position:absolute;margin-left:387pt;margin-top:20.9pt;width:333.6pt;height:36pt;z-index:251656192;mso-wrap-style:tight;mso-position-horizontal-relative:text;mso-position-vertical-relative:text" filled="f" fillcolor="black" stroked="f" strokecolor="white">
            <v:textbox style="mso-next-textbox:#_x0000_s1062;mso-direction-alt:auto">
              <w:txbxContent>
                <w:p w:rsidR="00993415" w:rsidRPr="00492F73" w:rsidRDefault="00993415" w:rsidP="00492F73">
                  <w:pPr>
                    <w:jc w:val="center"/>
                    <w:rPr>
                      <w:b/>
                    </w:rPr>
                  </w:pPr>
                  <w:r w:rsidRPr="003470CF">
                    <w:rPr>
                      <w:b/>
                      <w:szCs w:val="24"/>
                    </w:rPr>
                    <w:t xml:space="preserve">Прирост (снижение) индекса инфляции по видам товаров и услуг за </w:t>
                  </w:r>
                  <w:r>
                    <w:rPr>
                      <w:b/>
                      <w:szCs w:val="24"/>
                    </w:rPr>
                    <w:t>январь</w:t>
                  </w:r>
                  <w:r w:rsidRPr="003470CF">
                    <w:rPr>
                      <w:b/>
                      <w:szCs w:val="24"/>
                    </w:rPr>
                    <w:t xml:space="preserve"> 201</w:t>
                  </w:r>
                  <w:r w:rsidR="00530DC5">
                    <w:rPr>
                      <w:b/>
                      <w:szCs w:val="24"/>
                    </w:rPr>
                    <w:t>8</w:t>
                  </w:r>
                  <w:r w:rsidRPr="003470CF">
                    <w:rPr>
                      <w:b/>
                      <w:szCs w:val="24"/>
                    </w:rPr>
                    <w:t xml:space="preserve"> года, %</w:t>
                  </w:r>
                </w:p>
              </w:txbxContent>
            </v:textbox>
          </v:shape>
        </w:pict>
      </w:r>
    </w:p>
    <w:p w:rsidR="00A019A4" w:rsidRPr="00A721B3" w:rsidRDefault="00A019A4" w:rsidP="00A721B3">
      <w:pPr>
        <w:pStyle w:val="3"/>
        <w:rPr>
          <w:color w:val="FF0000"/>
          <w:sz w:val="32"/>
          <w:szCs w:val="32"/>
        </w:rPr>
      </w:pPr>
      <w:r w:rsidRPr="00A721B3">
        <w:rPr>
          <w:color w:val="FF0000"/>
          <w:sz w:val="32"/>
          <w:szCs w:val="32"/>
        </w:rPr>
        <w:t>И</w:t>
      </w:r>
      <w:r w:rsidR="00A721B3" w:rsidRPr="00A721B3">
        <w:rPr>
          <w:color w:val="FF0000"/>
          <w:sz w:val="32"/>
          <w:szCs w:val="32"/>
        </w:rPr>
        <w:t>нфляция и рост цен</w:t>
      </w:r>
    </w:p>
    <w:p w:rsidR="00A019A4" w:rsidRDefault="00171380" w:rsidP="00A019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3" style="position:absolute;left:0;text-align:left;margin-left:350.25pt;margin-top:285.55pt;width:406.05pt;height:143.85pt;z-index:251650048;mso-position-horizontal-relative:text;mso-position-vertical-relative:text" arcsize="10923f" strokecolor="#9bbb59" strokeweight="2.5pt">
            <v:shadow color="#868686"/>
            <v:textbox style="mso-next-textbox:#_x0000_s1033">
              <w:txbxContent>
                <w:p w:rsidR="00993415" w:rsidRPr="007D0EDE" w:rsidRDefault="00993415" w:rsidP="007C5B2C">
                  <w:pPr>
                    <w:numPr>
                      <w:ilvl w:val="0"/>
                      <w:numId w:val="1"/>
                    </w:numPr>
                    <w:tabs>
                      <w:tab w:val="num" w:pos="567"/>
                    </w:tabs>
                    <w:ind w:left="567" w:hanging="386"/>
                    <w:jc w:val="both"/>
                    <w:rPr>
                      <w:sz w:val="27"/>
                      <w:szCs w:val="27"/>
                    </w:rPr>
                  </w:pPr>
                  <w:r w:rsidRPr="007D0EDE">
                    <w:rPr>
                      <w:rStyle w:val="a4"/>
                      <w:i w:val="0"/>
                      <w:sz w:val="27"/>
                      <w:szCs w:val="27"/>
                    </w:rPr>
                    <w:t xml:space="preserve">Общая ценовая ситуация </w:t>
                  </w:r>
                  <w:r w:rsidRPr="00225E1F">
                    <w:rPr>
                      <w:rStyle w:val="a4"/>
                      <w:i w:val="0"/>
                      <w:sz w:val="27"/>
                      <w:szCs w:val="27"/>
                    </w:rPr>
                    <w:t xml:space="preserve">в Нижнем Новгороде </w:t>
                  </w:r>
                  <w:r w:rsidRPr="00225E1F">
                    <w:rPr>
                      <w:rStyle w:val="a4"/>
                      <w:b/>
                      <w:i w:val="0"/>
                      <w:sz w:val="27"/>
                      <w:szCs w:val="27"/>
                    </w:rPr>
                    <w:t xml:space="preserve">не значительно отличается от РФ: </w:t>
                  </w:r>
                  <w:r w:rsidRPr="00225E1F">
                    <w:rPr>
                      <w:rStyle w:val="a4"/>
                      <w:i w:val="0"/>
                      <w:sz w:val="27"/>
                      <w:szCs w:val="27"/>
                    </w:rPr>
                    <w:t>индекс потребительских цен составил за январь 2018 года по отношению к декабрю 2017 года 100,5% (по Российской Федерации – 100,3%)</w:t>
                  </w:r>
                  <w:r w:rsidRPr="00225E1F">
                    <w:rPr>
                      <w:sz w:val="27"/>
                      <w:szCs w:val="27"/>
                    </w:rPr>
                    <w:t>.</w:t>
                  </w:r>
                </w:p>
                <w:p w:rsidR="00993415" w:rsidRPr="00B11AD2" w:rsidRDefault="00993415" w:rsidP="007C2A08">
                  <w:pPr>
                    <w:ind w:left="567"/>
                    <w:jc w:val="both"/>
                    <w:rPr>
                      <w:color w:val="FF0000"/>
                      <w:sz w:val="10"/>
                      <w:szCs w:val="10"/>
                      <w:highlight w:val="yellow"/>
                    </w:rPr>
                  </w:pPr>
                </w:p>
                <w:p w:rsidR="00993415" w:rsidRPr="007D0EDE" w:rsidRDefault="00993415" w:rsidP="009416D0">
                  <w:pPr>
                    <w:numPr>
                      <w:ilvl w:val="0"/>
                      <w:numId w:val="1"/>
                    </w:numPr>
                    <w:tabs>
                      <w:tab w:val="num" w:pos="567"/>
                    </w:tabs>
                    <w:ind w:left="567" w:hanging="386"/>
                    <w:jc w:val="both"/>
                    <w:rPr>
                      <w:sz w:val="27"/>
                      <w:szCs w:val="27"/>
                    </w:rPr>
                  </w:pPr>
                  <w:r w:rsidRPr="007D0EDE">
                    <w:rPr>
                      <w:sz w:val="27"/>
                      <w:szCs w:val="27"/>
                    </w:rPr>
                    <w:t xml:space="preserve">Наибольшими темпами в городе дорожали </w:t>
                  </w:r>
                  <w:r>
                    <w:rPr>
                      <w:b/>
                      <w:sz w:val="27"/>
                      <w:szCs w:val="27"/>
                    </w:rPr>
                    <w:t>продовольственные товары</w:t>
                  </w:r>
                  <w:r w:rsidRPr="007D0EDE">
                    <w:rPr>
                      <w:sz w:val="27"/>
                      <w:szCs w:val="27"/>
                    </w:rPr>
                    <w:t xml:space="preserve">: с начала года цены на них увеличились на </w:t>
                  </w:r>
                  <w:r>
                    <w:rPr>
                      <w:sz w:val="27"/>
                      <w:szCs w:val="27"/>
                    </w:rPr>
                    <w:t>0,6</w:t>
                  </w:r>
                  <w:r w:rsidRPr="007D0EDE">
                    <w:rPr>
                      <w:sz w:val="27"/>
                      <w:szCs w:val="27"/>
                    </w:rPr>
                    <w:t>%.</w:t>
                  </w:r>
                </w:p>
              </w:txbxContent>
            </v:textbox>
          </v:roundrect>
        </w:pict>
      </w:r>
      <w:r w:rsidR="00586814">
        <w:rPr>
          <w:b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-571234</wp:posOffset>
            </wp:positionH>
            <wp:positionV relativeFrom="paragraph">
              <wp:posOffset>695222</wp:posOffset>
            </wp:positionV>
            <wp:extent cx="5390707" cy="4667693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61" editas="canvas" style="width:342pt;height:75.55pt;mso-position-horizontal-relative:char;mso-position-vertical-relative:line" coordorigin="4851,4909" coordsize="7200,15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851;top:4909;width:7200;height:1577" o:preferrelative="f">
              <v:fill o:detectmouseclick="t"/>
              <v:path o:extrusionok="t" o:connecttype="none"/>
              <o:lock v:ext="edit" text="t"/>
            </v:shape>
            <v:shape id="_x0000_s1059" type="#_x0000_t202" style="position:absolute;left:4851;top:5305;width:7200;height:877;mso-wrap-style:tight" filled="f" fillcolor="black" stroked="f" strokecolor="white">
              <v:textbox style="mso-next-textbox:#_x0000_s1059;mso-direction-alt:auto">
                <w:txbxContent>
                  <w:p w:rsidR="00993415" w:rsidRPr="004C7534" w:rsidRDefault="00993415" w:rsidP="00492F73">
                    <w:pPr>
                      <w:jc w:val="center"/>
                      <w:rPr>
                        <w:b/>
                        <w:color w:val="FF0000"/>
                        <w:szCs w:val="24"/>
                      </w:rPr>
                    </w:pPr>
                    <w:r w:rsidRPr="004C7534">
                      <w:rPr>
                        <w:b/>
                        <w:color w:val="FF0000"/>
                        <w:szCs w:val="24"/>
                      </w:rPr>
                      <w:t>Индекс инфляции за период с начала года,</w:t>
                    </w:r>
                  </w:p>
                  <w:p w:rsidR="00993415" w:rsidRPr="004C7534" w:rsidRDefault="00993415" w:rsidP="00492F73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4C7534">
                      <w:rPr>
                        <w:b/>
                        <w:color w:val="FF0000"/>
                        <w:szCs w:val="24"/>
                      </w:rPr>
                      <w:t>% к декабрю предыдущего 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19A4" w:rsidRDefault="00A019A4" w:rsidP="003470CF">
      <w:pPr>
        <w:rPr>
          <w:b/>
          <w:sz w:val="28"/>
          <w:szCs w:val="28"/>
        </w:rPr>
        <w:sectPr w:rsidR="00A019A4" w:rsidSect="00DA466A">
          <w:headerReference w:type="default" r:id="rId10"/>
          <w:pgSz w:w="16838" w:h="11906" w:orient="landscape"/>
          <w:pgMar w:top="848" w:right="1134" w:bottom="851" w:left="1134" w:header="426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D54477" w:rsidRPr="00F44BBC" w:rsidRDefault="00D54477" w:rsidP="004B447B">
      <w:pPr>
        <w:pStyle w:val="3"/>
        <w:spacing w:before="60"/>
        <w:rPr>
          <w:color w:val="FF0000"/>
          <w:sz w:val="32"/>
          <w:szCs w:val="32"/>
        </w:rPr>
      </w:pPr>
      <w:r w:rsidRPr="00F44BBC">
        <w:rPr>
          <w:color w:val="FF0000"/>
          <w:sz w:val="32"/>
          <w:szCs w:val="32"/>
        </w:rPr>
        <w:lastRenderedPageBreak/>
        <w:t>Уровень и качество жизни населения</w:t>
      </w:r>
    </w:p>
    <w:p w:rsidR="002824CE" w:rsidRDefault="00171380" w:rsidP="00A019A4">
      <w:r w:rsidRPr="00171380">
        <w:rPr>
          <w:noProof/>
          <w:sz w:val="26"/>
          <w:szCs w:val="26"/>
        </w:rPr>
        <w:pict>
          <v:roundrect id="_x0000_s1036" style="position:absolute;margin-left:445.5pt;margin-top:8.25pt;width:321.3pt;height:146.9pt;z-index:251651072" arcsize="6736f" strokecolor="#9bbb59" strokeweight="2.5pt">
            <v:shadow color="#868686"/>
            <v:textbox style="mso-next-textbox:#_x0000_s1036">
              <w:txbxContent>
                <w:p w:rsidR="00993415" w:rsidRDefault="00993415" w:rsidP="001B2E92">
                  <w:pPr>
                    <w:tabs>
                      <w:tab w:val="left" w:pos="426"/>
                    </w:tabs>
                    <w:ind w:left="181"/>
                    <w:jc w:val="both"/>
                    <w:rPr>
                      <w:sz w:val="27"/>
                      <w:szCs w:val="27"/>
                    </w:rPr>
                  </w:pPr>
                </w:p>
                <w:p w:rsidR="00993415" w:rsidRPr="00487885" w:rsidRDefault="00993415" w:rsidP="00F327A9">
                  <w:pPr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487885">
                    <w:rPr>
                      <w:sz w:val="27"/>
                      <w:szCs w:val="27"/>
                    </w:rPr>
                    <w:t xml:space="preserve">В </w:t>
                  </w:r>
                  <w:r w:rsidR="00D80556">
                    <w:rPr>
                      <w:sz w:val="27"/>
                      <w:szCs w:val="27"/>
                    </w:rPr>
                    <w:t>дека</w:t>
                  </w:r>
                  <w:r w:rsidRPr="00487885">
                    <w:rPr>
                      <w:sz w:val="27"/>
                      <w:szCs w:val="27"/>
                    </w:rPr>
                    <w:t>бре 2017 года наблюдается естественная убыль населения – 2</w:t>
                  </w:r>
                  <w:r w:rsidR="00D80556">
                    <w:rPr>
                      <w:sz w:val="27"/>
                      <w:szCs w:val="27"/>
                    </w:rPr>
                    <w:t xml:space="preserve">87 </w:t>
                  </w:r>
                  <w:r w:rsidRPr="00487885">
                    <w:rPr>
                      <w:sz w:val="27"/>
                      <w:szCs w:val="27"/>
                    </w:rPr>
                    <w:t>чел.</w:t>
                  </w:r>
                </w:p>
                <w:p w:rsidR="00993415" w:rsidRPr="001B64E6" w:rsidRDefault="00993415" w:rsidP="000238A3">
                  <w:pPr>
                    <w:tabs>
                      <w:tab w:val="left" w:pos="426"/>
                    </w:tabs>
                    <w:ind w:left="181"/>
                    <w:jc w:val="both"/>
                    <w:rPr>
                      <w:sz w:val="27"/>
                      <w:szCs w:val="27"/>
                    </w:rPr>
                  </w:pPr>
                </w:p>
                <w:p w:rsidR="00993415" w:rsidRPr="00487885" w:rsidRDefault="00993415" w:rsidP="00F9532B">
                  <w:pPr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181"/>
                    <w:rPr>
                      <w:szCs w:val="27"/>
                    </w:rPr>
                  </w:pPr>
                  <w:proofErr w:type="gramStart"/>
                  <w:r w:rsidRPr="00487885">
                    <w:rPr>
                      <w:sz w:val="27"/>
                      <w:szCs w:val="27"/>
                    </w:rPr>
                    <w:t xml:space="preserve">В </w:t>
                  </w:r>
                  <w:r w:rsidR="00D80556">
                    <w:rPr>
                      <w:sz w:val="27"/>
                      <w:szCs w:val="27"/>
                    </w:rPr>
                    <w:t>дека</w:t>
                  </w:r>
                  <w:r w:rsidRPr="00487885">
                    <w:rPr>
                      <w:sz w:val="27"/>
                      <w:szCs w:val="27"/>
                    </w:rPr>
                    <w:t xml:space="preserve">бре 2017 года по сравнению с </w:t>
                  </w:r>
                  <w:r w:rsidR="00D80556">
                    <w:rPr>
                      <w:sz w:val="27"/>
                      <w:szCs w:val="27"/>
                    </w:rPr>
                    <w:t>но</w:t>
                  </w:r>
                  <w:r w:rsidRPr="00487885">
                    <w:rPr>
                      <w:sz w:val="27"/>
                      <w:szCs w:val="27"/>
                    </w:rPr>
                    <w:t xml:space="preserve">ябрем 2017 года численность работающих в крупных и средних организациях </w:t>
                  </w:r>
                  <w:r w:rsidR="00D80556">
                    <w:rPr>
                      <w:sz w:val="27"/>
                      <w:szCs w:val="27"/>
                    </w:rPr>
                    <w:t>уменьш</w:t>
                  </w:r>
                  <w:r w:rsidRPr="00487885">
                    <w:rPr>
                      <w:sz w:val="27"/>
                      <w:szCs w:val="27"/>
                    </w:rPr>
                    <w:t>илась на 0,</w:t>
                  </w:r>
                  <w:r w:rsidR="00D80556">
                    <w:rPr>
                      <w:sz w:val="27"/>
                      <w:szCs w:val="27"/>
                    </w:rPr>
                    <w:t>2</w:t>
                  </w:r>
                  <w:r w:rsidRPr="00487885">
                    <w:rPr>
                      <w:sz w:val="27"/>
                      <w:szCs w:val="27"/>
                    </w:rPr>
                    <w:t>%.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ect id="_x0000_s1042" style="position:absolute;margin-left:0;margin-top:8.85pt;width:6in;height:146.3pt;z-index:251652096" filled="f" stroked="f">
            <v:textbox style="mso-next-textbox:#_x0000_s1042">
              <w:txbxContent>
                <w:tbl>
                  <w:tblPr>
                    <w:tblOverlap w:val="never"/>
                    <w:tblW w:w="8505" w:type="dxa"/>
                    <w:tblBorders>
                      <w:insideH w:val="single" w:sz="18" w:space="0" w:color="FFFFFF"/>
                      <w:insideV w:val="single" w:sz="18" w:space="0" w:color="FFFFFF"/>
                    </w:tblBorders>
                    <w:tblLook w:val="00A0"/>
                  </w:tblPr>
                  <w:tblGrid>
                    <w:gridCol w:w="3128"/>
                    <w:gridCol w:w="1030"/>
                    <w:gridCol w:w="912"/>
                    <w:gridCol w:w="1219"/>
                    <w:gridCol w:w="916"/>
                    <w:gridCol w:w="1300"/>
                  </w:tblGrid>
                  <w:tr w:rsidR="00993415" w:rsidRPr="00443FEE" w:rsidTr="00E84D8B">
                    <w:trPr>
                      <w:trHeight w:val="360"/>
                    </w:trPr>
                    <w:tc>
                      <w:tcPr>
                        <w:tcW w:w="3128" w:type="dxa"/>
                        <w:vMerge w:val="restart"/>
                        <w:shd w:val="pct20" w:color="000000" w:fill="FFFFFF"/>
                        <w:vAlign w:val="center"/>
                      </w:tcPr>
                      <w:p w:rsidR="00993415" w:rsidRPr="00443FEE" w:rsidRDefault="00993415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30" w:type="dxa"/>
                        <w:vMerge w:val="restart"/>
                        <w:shd w:val="pct20" w:color="000000" w:fill="FFFFFF"/>
                        <w:vAlign w:val="center"/>
                      </w:tcPr>
                      <w:p w:rsidR="00993415" w:rsidRPr="00B16141" w:rsidRDefault="00D80556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дека</w:t>
                        </w:r>
                        <w:r w:rsidR="00993415">
                          <w:rPr>
                            <w:b/>
                            <w:bCs/>
                            <w:sz w:val="20"/>
                          </w:rPr>
                          <w:t>брь</w:t>
                        </w:r>
                      </w:p>
                      <w:p w:rsidR="00993415" w:rsidRPr="00443FEE" w:rsidRDefault="00993415" w:rsidP="000B1E4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>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shd w:val="pct20" w:color="000000" w:fill="FFFFFF"/>
                        <w:vAlign w:val="center"/>
                      </w:tcPr>
                      <w:p w:rsidR="00993415" w:rsidRPr="00443FEE" w:rsidRDefault="00993415" w:rsidP="00D80556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 w:rsidR="00D80556">
                          <w:rPr>
                            <w:b/>
                            <w:bCs/>
                            <w:sz w:val="20"/>
                          </w:rPr>
                          <w:t>но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ябрю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216" w:type="dxa"/>
                        <w:gridSpan w:val="2"/>
                        <w:shd w:val="pct20" w:color="000000" w:fill="FFFFFF"/>
                        <w:vAlign w:val="center"/>
                      </w:tcPr>
                      <w:p w:rsidR="00993415" w:rsidRPr="00443FEE" w:rsidRDefault="00993415" w:rsidP="00D80556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rFonts w:ascii="Wingdings 3" w:hAnsi="Wingdings 3"/>
                            <w:b/>
                            <w:bCs/>
                            <w:sz w:val="20"/>
                          </w:rPr>
                        </w:pP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 w:rsidR="00D80556">
                          <w:rPr>
                            <w:b/>
                            <w:bCs/>
                            <w:sz w:val="20"/>
                          </w:rPr>
                          <w:t>дека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брю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201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6</w:t>
                        </w:r>
                        <w:r w:rsidRPr="00443FEE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</w:tr>
                  <w:tr w:rsidR="00993415" w:rsidRPr="00443FEE" w:rsidTr="00DA466A">
                    <w:trPr>
                      <w:trHeight w:val="360"/>
                    </w:trPr>
                    <w:tc>
                      <w:tcPr>
                        <w:tcW w:w="3128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43FEE" w:rsidRDefault="00993415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c>
                    <w:tc>
                      <w:tcPr>
                        <w:tcW w:w="1030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43FEE" w:rsidRDefault="00993415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43FEE" w:rsidRDefault="00993415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219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43FEE" w:rsidRDefault="00993415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  <w:tc>
                      <w:tcPr>
                        <w:tcW w:w="916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43FEE" w:rsidRDefault="00993415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43FEE" w:rsidRDefault="00993415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43FEE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</w:tr>
                  <w:tr w:rsidR="00993415" w:rsidRPr="005C3B34" w:rsidTr="00DA466A">
                    <w:trPr>
                      <w:trHeight w:val="360"/>
                    </w:trPr>
                    <w:tc>
                      <w:tcPr>
                        <w:tcW w:w="3128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</w:tcPr>
                      <w:p w:rsidR="00993415" w:rsidRPr="00487885" w:rsidRDefault="00993415" w:rsidP="008340A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 w:rsidRPr="00487885">
                          <w:rPr>
                            <w:color w:val="000000"/>
                            <w:sz w:val="20"/>
                          </w:rPr>
                          <w:t>Среднемесячная заработная плата работающего (по крупным и средним организациям), руб.</w:t>
                        </w:r>
                        <w:proofErr w:type="gramEnd"/>
                      </w:p>
                    </w:tc>
                    <w:tc>
                      <w:tcPr>
                        <w:tcW w:w="103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93415" w:rsidRPr="00487885" w:rsidRDefault="00D80556" w:rsidP="00E72C5A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58 186,1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93415" w:rsidRPr="00487885" w:rsidRDefault="00993415" w:rsidP="00D80556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7885">
                          <w:rPr>
                            <w:sz w:val="20"/>
                          </w:rPr>
                          <w:t>1</w:t>
                        </w:r>
                        <w:r w:rsidR="00D80556">
                          <w:rPr>
                            <w:sz w:val="20"/>
                          </w:rPr>
                          <w:t>41,3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93415" w:rsidRPr="00487885" w:rsidRDefault="00993415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93415" w:rsidRPr="00487885" w:rsidRDefault="00D80556" w:rsidP="005E16F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109,7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93415" w:rsidRPr="00487885" w:rsidRDefault="00993415" w:rsidP="00F773A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  <w:tr w:rsidR="00993415" w:rsidRPr="005C3B34" w:rsidTr="002529E6">
                    <w:trPr>
                      <w:trHeight w:val="315"/>
                    </w:trPr>
                    <w:tc>
                      <w:tcPr>
                        <w:tcW w:w="3128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2D163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487885">
                          <w:rPr>
                            <w:color w:val="000000"/>
                            <w:sz w:val="20"/>
                          </w:rPr>
                          <w:t>Численность работающих в крупных и средних организациях, тыс</w:t>
                        </w:r>
                        <w:proofErr w:type="gramStart"/>
                        <w:r w:rsidRPr="00487885">
                          <w:rPr>
                            <w:color w:val="000000"/>
                            <w:sz w:val="20"/>
                          </w:rPr>
                          <w:t>.ч</w:t>
                        </w:r>
                        <w:proofErr w:type="gramEnd"/>
                        <w:r w:rsidRPr="00487885">
                          <w:rPr>
                            <w:color w:val="000000"/>
                            <w:sz w:val="20"/>
                          </w:rPr>
                          <w:t>ел.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993415" w:rsidRPr="00487885" w:rsidRDefault="00D80556" w:rsidP="00437930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409,6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993415" w:rsidRPr="00487885" w:rsidRDefault="00D80556" w:rsidP="00C5331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99,8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993415" w:rsidRPr="00487885" w:rsidRDefault="00D80556" w:rsidP="002D163F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993415" w:rsidRPr="00487885" w:rsidRDefault="00D80556" w:rsidP="00EE2D5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98,0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000000" w:fill="FFFFFF"/>
                        <w:vAlign w:val="center"/>
                      </w:tcPr>
                      <w:p w:rsidR="00993415" w:rsidRPr="00487885" w:rsidRDefault="00993415" w:rsidP="002D163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</w:tr>
                  <w:tr w:rsidR="00993415" w:rsidRPr="005C3B34" w:rsidTr="002529E6">
                    <w:trPr>
                      <w:trHeight w:val="414"/>
                    </w:trPr>
                    <w:tc>
                      <w:tcPr>
                        <w:tcW w:w="3128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</w:tcPr>
                      <w:p w:rsidR="00993415" w:rsidRPr="00487885" w:rsidRDefault="00993415" w:rsidP="002C0214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487885">
                          <w:rPr>
                            <w:color w:val="000000"/>
                            <w:sz w:val="20"/>
                          </w:rPr>
                          <w:t>Естественный прирост (убыль) населения, человек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993415" w:rsidRPr="00487885" w:rsidRDefault="00993415" w:rsidP="00D80556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7885">
                          <w:rPr>
                            <w:sz w:val="20"/>
                          </w:rPr>
                          <w:t>-2</w:t>
                        </w:r>
                        <w:r w:rsidR="00D80556"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993415" w:rsidRPr="00487885" w:rsidRDefault="00D80556" w:rsidP="00AA4B48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134,1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993415" w:rsidRPr="00487885" w:rsidRDefault="00993415" w:rsidP="00F6040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993415" w:rsidRPr="00487885" w:rsidRDefault="00993415" w:rsidP="00B3025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 w:rsidRPr="00487885">
                          <w:rPr>
                            <w:sz w:val="20"/>
                          </w:rPr>
                          <w:t>в 2 раза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993415" w:rsidRPr="00487885" w:rsidRDefault="00993415" w:rsidP="005C3B34">
                        <w:pPr>
                          <w:overflowPunct/>
                          <w:autoSpaceDE/>
                          <w:autoSpaceDN/>
                          <w:adjustRightInd/>
                          <w:ind w:right="-138"/>
                          <w:suppressOverlap/>
                          <w:jc w:val="center"/>
                          <w:textAlignment w:val="auto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</w:tbl>
                <w:p w:rsidR="00993415" w:rsidRPr="00326BA6" w:rsidRDefault="00993415" w:rsidP="00ED08A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FA2E97" w:rsidRDefault="00FA2E97" w:rsidP="00FA2E97">
      <w:pPr>
        <w:rPr>
          <w:sz w:val="20"/>
        </w:rPr>
      </w:pPr>
    </w:p>
    <w:p w:rsidR="000E0575" w:rsidRDefault="000E0575" w:rsidP="005C3B34">
      <w:pPr>
        <w:pStyle w:val="3"/>
        <w:spacing w:before="0" w:after="0"/>
        <w:rPr>
          <w:color w:val="FF0000"/>
          <w:sz w:val="32"/>
          <w:szCs w:val="32"/>
        </w:rPr>
      </w:pPr>
    </w:p>
    <w:p w:rsidR="002824CE" w:rsidRPr="00F44BBC" w:rsidRDefault="00FF233C" w:rsidP="002824CE">
      <w:pPr>
        <w:pStyle w:val="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Рынок труда и задолженность по заработной плате</w:t>
      </w:r>
    </w:p>
    <w:p w:rsidR="002824CE" w:rsidRDefault="002824CE" w:rsidP="00A019A4"/>
    <w:tbl>
      <w:tblPr>
        <w:tblpPr w:leftFromText="180" w:rightFromText="180" w:vertAnchor="text" w:horzAnchor="page" w:tblpX="7361" w:tblpY="-85"/>
        <w:tblOverlap w:val="never"/>
        <w:tblW w:w="8808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3199"/>
        <w:gridCol w:w="1033"/>
        <w:gridCol w:w="979"/>
        <w:gridCol w:w="1334"/>
        <w:gridCol w:w="934"/>
        <w:gridCol w:w="1329"/>
      </w:tblGrid>
      <w:tr w:rsidR="000E0575" w:rsidRPr="009B7800" w:rsidTr="000E0575">
        <w:trPr>
          <w:trHeight w:val="360"/>
        </w:trPr>
        <w:tc>
          <w:tcPr>
            <w:tcW w:w="3199" w:type="dxa"/>
            <w:vMerge w:val="restart"/>
            <w:shd w:val="pct20" w:color="000000" w:fill="FFFFFF"/>
            <w:vAlign w:val="center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B780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033" w:type="dxa"/>
            <w:vMerge w:val="restart"/>
            <w:shd w:val="pct20" w:color="000000" w:fill="FFFFFF"/>
            <w:vAlign w:val="center"/>
          </w:tcPr>
          <w:p w:rsidR="000E0575" w:rsidRPr="009B7800" w:rsidRDefault="00C50E39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янва</w:t>
            </w:r>
            <w:r w:rsidR="00783CC6">
              <w:rPr>
                <w:b/>
                <w:bCs/>
                <w:sz w:val="20"/>
              </w:rPr>
              <w:t>рь</w:t>
            </w:r>
          </w:p>
          <w:p w:rsidR="000E0575" w:rsidRPr="009B7800" w:rsidRDefault="000E0575" w:rsidP="00C50E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highlight w:val="yellow"/>
              </w:rPr>
            </w:pPr>
            <w:r w:rsidRPr="009B7800">
              <w:rPr>
                <w:b/>
                <w:bCs/>
                <w:sz w:val="20"/>
              </w:rPr>
              <w:t>201</w:t>
            </w:r>
            <w:r w:rsidR="00C50E39">
              <w:rPr>
                <w:b/>
                <w:bCs/>
                <w:sz w:val="20"/>
              </w:rPr>
              <w:t>8</w:t>
            </w:r>
            <w:r w:rsidRPr="009B7800">
              <w:rPr>
                <w:b/>
                <w:bCs/>
                <w:sz w:val="20"/>
              </w:rPr>
              <w:t xml:space="preserve"> г.</w:t>
            </w:r>
          </w:p>
        </w:tc>
        <w:tc>
          <w:tcPr>
            <w:tcW w:w="2313" w:type="dxa"/>
            <w:gridSpan w:val="2"/>
            <w:shd w:val="pct20" w:color="000000" w:fill="FFFFFF"/>
            <w:vAlign w:val="center"/>
          </w:tcPr>
          <w:p w:rsidR="000E0575" w:rsidRPr="009B7800" w:rsidRDefault="000E0575" w:rsidP="00C50E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B7800">
              <w:rPr>
                <w:b/>
                <w:bCs/>
                <w:sz w:val="20"/>
              </w:rPr>
              <w:t xml:space="preserve">к </w:t>
            </w:r>
            <w:r w:rsidR="00C50E39">
              <w:rPr>
                <w:b/>
                <w:bCs/>
                <w:sz w:val="20"/>
              </w:rPr>
              <w:t>дека</w:t>
            </w:r>
            <w:r w:rsidR="00B16141">
              <w:rPr>
                <w:b/>
                <w:bCs/>
                <w:sz w:val="20"/>
              </w:rPr>
              <w:t>брю</w:t>
            </w:r>
            <w:r w:rsidRPr="009B7800">
              <w:rPr>
                <w:b/>
                <w:bCs/>
                <w:sz w:val="20"/>
              </w:rPr>
              <w:t xml:space="preserve"> 201</w:t>
            </w:r>
            <w:r>
              <w:rPr>
                <w:b/>
                <w:bCs/>
                <w:sz w:val="20"/>
              </w:rPr>
              <w:t>7</w:t>
            </w:r>
            <w:r w:rsidRPr="009B7800">
              <w:rPr>
                <w:b/>
                <w:bCs/>
                <w:sz w:val="20"/>
              </w:rPr>
              <w:t xml:space="preserve"> г.</w:t>
            </w:r>
          </w:p>
        </w:tc>
        <w:tc>
          <w:tcPr>
            <w:tcW w:w="2263" w:type="dxa"/>
            <w:gridSpan w:val="2"/>
            <w:shd w:val="pct20" w:color="000000" w:fill="FFFFFF"/>
            <w:vAlign w:val="center"/>
          </w:tcPr>
          <w:p w:rsidR="000E0575" w:rsidRPr="009B7800" w:rsidRDefault="000E0575" w:rsidP="00C50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Wingdings 3" w:hAnsi="Wingdings 3"/>
                <w:b/>
                <w:bCs/>
                <w:sz w:val="20"/>
              </w:rPr>
            </w:pPr>
            <w:r w:rsidRPr="009B7800">
              <w:rPr>
                <w:b/>
                <w:bCs/>
                <w:sz w:val="20"/>
              </w:rPr>
              <w:t xml:space="preserve">к </w:t>
            </w:r>
            <w:r w:rsidR="00C50E39">
              <w:rPr>
                <w:b/>
                <w:bCs/>
                <w:sz w:val="20"/>
              </w:rPr>
              <w:t>янва</w:t>
            </w:r>
            <w:r w:rsidR="00783CC6">
              <w:rPr>
                <w:b/>
                <w:bCs/>
                <w:sz w:val="20"/>
              </w:rPr>
              <w:t>рю</w:t>
            </w:r>
            <w:r w:rsidR="009B30FA">
              <w:rPr>
                <w:b/>
                <w:bCs/>
                <w:sz w:val="20"/>
              </w:rPr>
              <w:t xml:space="preserve"> </w:t>
            </w:r>
            <w:r w:rsidRPr="009B7800">
              <w:rPr>
                <w:b/>
                <w:bCs/>
                <w:sz w:val="20"/>
              </w:rPr>
              <w:t>201</w:t>
            </w:r>
            <w:r w:rsidR="00C50E39">
              <w:rPr>
                <w:b/>
                <w:bCs/>
                <w:sz w:val="20"/>
              </w:rPr>
              <w:t>7</w:t>
            </w:r>
            <w:r w:rsidRPr="009B7800">
              <w:rPr>
                <w:b/>
                <w:bCs/>
                <w:sz w:val="20"/>
              </w:rPr>
              <w:t xml:space="preserve"> г.</w:t>
            </w:r>
          </w:p>
        </w:tc>
      </w:tr>
      <w:tr w:rsidR="000E0575" w:rsidRPr="009B7800" w:rsidTr="000E0575">
        <w:trPr>
          <w:trHeight w:val="360"/>
        </w:trPr>
        <w:tc>
          <w:tcPr>
            <w:tcW w:w="3199" w:type="dxa"/>
            <w:vMerge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/>
                <w:sz w:val="20"/>
                <w:highlight w:val="yellow"/>
              </w:rPr>
            </w:pPr>
          </w:p>
        </w:tc>
        <w:tc>
          <w:tcPr>
            <w:tcW w:w="1033" w:type="dxa"/>
            <w:vMerge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/>
                <w:sz w:val="20"/>
                <w:highlight w:val="yellow"/>
              </w:rPr>
            </w:pPr>
          </w:p>
        </w:tc>
        <w:tc>
          <w:tcPr>
            <w:tcW w:w="979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B7800">
              <w:rPr>
                <w:b/>
                <w:sz w:val="20"/>
              </w:rPr>
              <w:t>в %</w:t>
            </w:r>
          </w:p>
        </w:tc>
        <w:tc>
          <w:tcPr>
            <w:tcW w:w="1334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B7800">
              <w:rPr>
                <w:b/>
                <w:sz w:val="20"/>
              </w:rPr>
              <w:t>тенденция</w:t>
            </w:r>
          </w:p>
        </w:tc>
        <w:tc>
          <w:tcPr>
            <w:tcW w:w="934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9B7800">
              <w:rPr>
                <w:b/>
                <w:sz w:val="20"/>
              </w:rPr>
              <w:t>в %</w:t>
            </w:r>
          </w:p>
        </w:tc>
        <w:tc>
          <w:tcPr>
            <w:tcW w:w="1329" w:type="dxa"/>
            <w:shd w:val="pct5" w:color="000000" w:fill="FFFFFF"/>
          </w:tcPr>
          <w:p w:rsidR="000E0575" w:rsidRPr="009B7800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B7800">
              <w:rPr>
                <w:b/>
                <w:sz w:val="20"/>
              </w:rPr>
              <w:t>тенденция</w:t>
            </w:r>
          </w:p>
        </w:tc>
      </w:tr>
      <w:tr w:rsidR="000E0575" w:rsidRPr="009B7800" w:rsidTr="000E0575">
        <w:trPr>
          <w:trHeight w:val="360"/>
        </w:trPr>
        <w:tc>
          <w:tcPr>
            <w:tcW w:w="3199" w:type="dxa"/>
            <w:shd w:val="pct20" w:color="000000" w:fill="FFFFFF"/>
          </w:tcPr>
          <w:p w:rsidR="000E0575" w:rsidRPr="008B69C7" w:rsidRDefault="000E0575" w:rsidP="000E05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8B69C7">
              <w:rPr>
                <w:color w:val="000000"/>
                <w:sz w:val="20"/>
              </w:rPr>
              <w:t>Численность официально зарегистрированных безработных на конец месяца, чел.</w:t>
            </w:r>
          </w:p>
        </w:tc>
        <w:tc>
          <w:tcPr>
            <w:tcW w:w="1033" w:type="dxa"/>
            <w:shd w:val="pct20" w:color="000000" w:fill="FFFFFF"/>
            <w:vAlign w:val="center"/>
          </w:tcPr>
          <w:p w:rsidR="000E0575" w:rsidRPr="008B69C7" w:rsidRDefault="0095611B" w:rsidP="00F13A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8B69C7">
              <w:rPr>
                <w:sz w:val="20"/>
              </w:rPr>
              <w:t xml:space="preserve">2 </w:t>
            </w:r>
            <w:r w:rsidR="008B69C7" w:rsidRPr="008B69C7">
              <w:rPr>
                <w:sz w:val="20"/>
              </w:rPr>
              <w:t>7</w:t>
            </w:r>
            <w:r w:rsidR="00F13AED">
              <w:rPr>
                <w:sz w:val="20"/>
              </w:rPr>
              <w:t>60</w:t>
            </w:r>
          </w:p>
        </w:tc>
        <w:tc>
          <w:tcPr>
            <w:tcW w:w="979" w:type="dxa"/>
            <w:shd w:val="pct20" w:color="000000" w:fill="FFFFFF"/>
            <w:vAlign w:val="center"/>
          </w:tcPr>
          <w:p w:rsidR="000E0575" w:rsidRPr="008B69C7" w:rsidRDefault="00F13AED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334" w:type="dxa"/>
            <w:shd w:val="pct20" w:color="000000" w:fill="FFFFFF"/>
            <w:vAlign w:val="center"/>
          </w:tcPr>
          <w:p w:rsidR="000E0575" w:rsidRPr="008B69C7" w:rsidRDefault="008B69C7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8B69C7">
              <w:rPr>
                <w:rFonts w:ascii="Wingdings 3" w:hAnsi="Wingdings 3"/>
                <w:bCs/>
                <w:sz w:val="28"/>
                <w:szCs w:val="28"/>
              </w:rPr>
              <w:sym w:font="Wingdings 3" w:char="F0DE"/>
            </w:r>
          </w:p>
        </w:tc>
        <w:tc>
          <w:tcPr>
            <w:tcW w:w="934" w:type="dxa"/>
            <w:shd w:val="pct20" w:color="000000" w:fill="FFFFFF"/>
            <w:vAlign w:val="center"/>
          </w:tcPr>
          <w:p w:rsidR="000E0575" w:rsidRPr="008B69C7" w:rsidRDefault="00F13AED" w:rsidP="003D3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78,9</w:t>
            </w:r>
          </w:p>
        </w:tc>
        <w:tc>
          <w:tcPr>
            <w:tcW w:w="1329" w:type="dxa"/>
            <w:shd w:val="pct20" w:color="000000" w:fill="FFFFFF"/>
            <w:vAlign w:val="center"/>
          </w:tcPr>
          <w:p w:rsidR="000E0575" w:rsidRPr="008B69C7" w:rsidRDefault="000E0575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8B69C7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</w:tr>
      <w:tr w:rsidR="000E0575" w:rsidRPr="009B7800" w:rsidTr="000E0575">
        <w:trPr>
          <w:trHeight w:val="315"/>
        </w:trPr>
        <w:tc>
          <w:tcPr>
            <w:tcW w:w="3199" w:type="dxa"/>
            <w:shd w:val="pct5" w:color="000000" w:fill="FFFFFF"/>
          </w:tcPr>
          <w:p w:rsidR="000E0575" w:rsidRPr="008B69C7" w:rsidRDefault="000E0575" w:rsidP="000E05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8B69C7">
              <w:rPr>
                <w:color w:val="000000"/>
                <w:sz w:val="20"/>
              </w:rPr>
              <w:t>Уровень официальной безработицы, % к экономически активному населению</w:t>
            </w:r>
          </w:p>
        </w:tc>
        <w:tc>
          <w:tcPr>
            <w:tcW w:w="1033" w:type="dxa"/>
            <w:shd w:val="pct5" w:color="000000" w:fill="FFFFFF"/>
            <w:vAlign w:val="center"/>
          </w:tcPr>
          <w:p w:rsidR="000E0575" w:rsidRPr="008B69C7" w:rsidRDefault="000E0575" w:rsidP="008B69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8B69C7">
              <w:rPr>
                <w:sz w:val="20"/>
              </w:rPr>
              <w:t>0,</w:t>
            </w:r>
            <w:r w:rsidR="0095611B" w:rsidRPr="008B69C7">
              <w:rPr>
                <w:sz w:val="20"/>
              </w:rPr>
              <w:t>3</w:t>
            </w:r>
            <w:r w:rsidR="008B69C7" w:rsidRPr="008B69C7">
              <w:rPr>
                <w:sz w:val="20"/>
              </w:rPr>
              <w:t>8</w:t>
            </w:r>
          </w:p>
        </w:tc>
        <w:tc>
          <w:tcPr>
            <w:tcW w:w="979" w:type="dxa"/>
            <w:shd w:val="pct5" w:color="000000" w:fill="FFFFFF"/>
            <w:vAlign w:val="center"/>
          </w:tcPr>
          <w:p w:rsidR="000E0575" w:rsidRPr="008B69C7" w:rsidRDefault="00F13AED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334" w:type="dxa"/>
            <w:shd w:val="pct5" w:color="000000" w:fill="FFFFFF"/>
            <w:vAlign w:val="center"/>
          </w:tcPr>
          <w:p w:rsidR="000E0575" w:rsidRPr="00F13AED" w:rsidRDefault="00F13AED" w:rsidP="00F13AED">
            <w:pPr>
              <w:jc w:val="center"/>
              <w:rPr>
                <w:rFonts w:ascii="Wingdings 3" w:hAnsi="Wingdings 3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34" w:type="dxa"/>
            <w:shd w:val="pct5" w:color="000000" w:fill="FFFFFF"/>
            <w:vAlign w:val="center"/>
          </w:tcPr>
          <w:p w:rsidR="000E0575" w:rsidRPr="008B69C7" w:rsidRDefault="00F13AED" w:rsidP="00D10CD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77,6</w:t>
            </w:r>
          </w:p>
        </w:tc>
        <w:tc>
          <w:tcPr>
            <w:tcW w:w="1329" w:type="dxa"/>
            <w:shd w:val="pct5" w:color="000000" w:fill="FFFFFF"/>
            <w:vAlign w:val="center"/>
          </w:tcPr>
          <w:p w:rsidR="000E0575" w:rsidRPr="008B69C7" w:rsidRDefault="000E0575" w:rsidP="000E0575">
            <w:pPr>
              <w:jc w:val="center"/>
              <w:rPr>
                <w:rFonts w:ascii="Wingdings 3" w:hAnsi="Wingdings 3"/>
                <w:b/>
                <w:bCs/>
                <w:sz w:val="28"/>
                <w:szCs w:val="28"/>
              </w:rPr>
            </w:pPr>
            <w:r w:rsidRPr="008B69C7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</w:tr>
      <w:tr w:rsidR="000E0575" w:rsidRPr="009B7800" w:rsidTr="000E0575">
        <w:trPr>
          <w:trHeight w:val="630"/>
        </w:trPr>
        <w:tc>
          <w:tcPr>
            <w:tcW w:w="3199" w:type="dxa"/>
            <w:shd w:val="pct20" w:color="000000" w:fill="FFFFFF"/>
          </w:tcPr>
          <w:p w:rsidR="000E0575" w:rsidRPr="008B69C7" w:rsidRDefault="000E0575" w:rsidP="000E05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8B69C7">
              <w:rPr>
                <w:color w:val="000000"/>
                <w:sz w:val="20"/>
              </w:rPr>
              <w:t xml:space="preserve">Напряженность на рынке труда, число </w:t>
            </w:r>
            <w:proofErr w:type="gramStart"/>
            <w:r w:rsidRPr="008B69C7">
              <w:rPr>
                <w:color w:val="000000"/>
                <w:sz w:val="20"/>
              </w:rPr>
              <w:t>незанятых</w:t>
            </w:r>
            <w:proofErr w:type="gramEnd"/>
            <w:r w:rsidRPr="008B69C7">
              <w:rPr>
                <w:color w:val="000000"/>
                <w:sz w:val="20"/>
              </w:rPr>
              <w:t xml:space="preserve"> на одну вакансию</w:t>
            </w:r>
          </w:p>
        </w:tc>
        <w:tc>
          <w:tcPr>
            <w:tcW w:w="1033" w:type="dxa"/>
            <w:shd w:val="pct20" w:color="000000" w:fill="FFFFFF"/>
            <w:vAlign w:val="center"/>
          </w:tcPr>
          <w:p w:rsidR="000E0575" w:rsidRPr="008B69C7" w:rsidRDefault="000E0575" w:rsidP="00F13A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8B69C7">
              <w:rPr>
                <w:sz w:val="20"/>
              </w:rPr>
              <w:t>0,</w:t>
            </w:r>
            <w:r w:rsidR="00F13AED">
              <w:rPr>
                <w:sz w:val="20"/>
              </w:rPr>
              <w:t>38</w:t>
            </w:r>
          </w:p>
        </w:tc>
        <w:tc>
          <w:tcPr>
            <w:tcW w:w="979" w:type="dxa"/>
            <w:shd w:val="pct20" w:color="000000" w:fill="FFFFFF"/>
            <w:vAlign w:val="center"/>
          </w:tcPr>
          <w:p w:rsidR="00D1436F" w:rsidRPr="008B69C7" w:rsidRDefault="00F13AED" w:rsidP="00D143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  <w:tc>
          <w:tcPr>
            <w:tcW w:w="1334" w:type="dxa"/>
            <w:shd w:val="pct20" w:color="000000" w:fill="FFFFFF"/>
            <w:vAlign w:val="center"/>
          </w:tcPr>
          <w:p w:rsidR="000E0575" w:rsidRPr="008B69C7" w:rsidRDefault="00F13AED" w:rsidP="000E0575">
            <w:pPr>
              <w:jc w:val="center"/>
              <w:rPr>
                <w:rFonts w:ascii="Wingdings 3" w:hAnsi="Wingdings 3"/>
                <w:b/>
                <w:bCs/>
                <w:sz w:val="20"/>
              </w:rPr>
            </w:pPr>
            <w:r w:rsidRPr="008B69C7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  <w:tc>
          <w:tcPr>
            <w:tcW w:w="934" w:type="dxa"/>
            <w:shd w:val="pct20" w:color="000000" w:fill="FFFFFF"/>
            <w:vAlign w:val="center"/>
          </w:tcPr>
          <w:p w:rsidR="000E0575" w:rsidRPr="008B69C7" w:rsidRDefault="00F13AED" w:rsidP="000E0575">
            <w:pPr>
              <w:overflowPunct/>
              <w:autoSpaceDE/>
              <w:autoSpaceDN/>
              <w:adjustRightInd/>
              <w:ind w:left="-167" w:right="-100"/>
              <w:jc w:val="center"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74,5</w:t>
            </w:r>
          </w:p>
        </w:tc>
        <w:tc>
          <w:tcPr>
            <w:tcW w:w="1329" w:type="dxa"/>
            <w:shd w:val="pct20" w:color="000000" w:fill="FFFFFF"/>
            <w:vAlign w:val="center"/>
          </w:tcPr>
          <w:p w:rsidR="000E0575" w:rsidRPr="008B69C7" w:rsidRDefault="00F13AED" w:rsidP="000E0575">
            <w:pPr>
              <w:jc w:val="center"/>
              <w:rPr>
                <w:rFonts w:ascii="Wingdings 3" w:hAnsi="Wingdings 3"/>
                <w:bCs/>
                <w:sz w:val="28"/>
                <w:szCs w:val="28"/>
              </w:rPr>
            </w:pPr>
            <w:r w:rsidRPr="008B69C7">
              <w:rPr>
                <w:rFonts w:ascii="Wingdings 3" w:hAnsi="Wingdings 3"/>
                <w:bCs/>
                <w:sz w:val="28"/>
                <w:szCs w:val="28"/>
              </w:rPr>
              <w:sym w:font="Wingdings 3" w:char="F0E0"/>
            </w:r>
          </w:p>
        </w:tc>
      </w:tr>
      <w:tr w:rsidR="000E0575" w:rsidRPr="008A5D37" w:rsidTr="000E0575">
        <w:trPr>
          <w:trHeight w:val="630"/>
        </w:trPr>
        <w:tc>
          <w:tcPr>
            <w:tcW w:w="3199" w:type="dxa"/>
            <w:shd w:val="pct5" w:color="000000" w:fill="FFFFFF"/>
          </w:tcPr>
          <w:p w:rsidR="000E0575" w:rsidRPr="00487885" w:rsidRDefault="000E0575" w:rsidP="00562F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487885">
              <w:rPr>
                <w:color w:val="000000"/>
                <w:sz w:val="20"/>
              </w:rPr>
              <w:t xml:space="preserve">Задолженность по заработной </w:t>
            </w:r>
            <w:r w:rsidR="00487885" w:rsidRPr="00487885">
              <w:rPr>
                <w:color w:val="000000"/>
                <w:sz w:val="28"/>
                <w:szCs w:val="28"/>
              </w:rPr>
              <w:t xml:space="preserve"> </w:t>
            </w:r>
            <w:r w:rsidRPr="00487885">
              <w:rPr>
                <w:color w:val="000000"/>
                <w:sz w:val="20"/>
              </w:rPr>
              <w:t xml:space="preserve">плате, на конец месяца, </w:t>
            </w:r>
            <w:r w:rsidR="00562F12" w:rsidRPr="00487885">
              <w:rPr>
                <w:color w:val="000000"/>
                <w:sz w:val="20"/>
              </w:rPr>
              <w:t>тыс.</w:t>
            </w:r>
            <w:r w:rsidRPr="00487885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033" w:type="dxa"/>
            <w:shd w:val="pct5" w:color="000000" w:fill="FFFFFF"/>
            <w:vAlign w:val="center"/>
          </w:tcPr>
          <w:p w:rsidR="000E0575" w:rsidRPr="00487885" w:rsidRDefault="00D5240F" w:rsidP="001B1D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487885">
              <w:rPr>
                <w:sz w:val="20"/>
              </w:rPr>
              <w:t>-</w:t>
            </w:r>
          </w:p>
        </w:tc>
        <w:tc>
          <w:tcPr>
            <w:tcW w:w="979" w:type="dxa"/>
            <w:shd w:val="pct5" w:color="000000" w:fill="FFFFFF"/>
            <w:vAlign w:val="center"/>
          </w:tcPr>
          <w:p w:rsidR="000E0575" w:rsidRPr="00487885" w:rsidRDefault="00D5240F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487885">
              <w:rPr>
                <w:sz w:val="20"/>
              </w:rPr>
              <w:t>-</w:t>
            </w:r>
          </w:p>
        </w:tc>
        <w:tc>
          <w:tcPr>
            <w:tcW w:w="1334" w:type="dxa"/>
            <w:shd w:val="pct5" w:color="000000" w:fill="FFFFFF"/>
            <w:vAlign w:val="center"/>
          </w:tcPr>
          <w:p w:rsidR="000E0575" w:rsidRPr="00487885" w:rsidRDefault="00D5240F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87885">
              <w:rPr>
                <w:sz w:val="20"/>
              </w:rPr>
              <w:t>-</w:t>
            </w:r>
          </w:p>
        </w:tc>
        <w:tc>
          <w:tcPr>
            <w:tcW w:w="934" w:type="dxa"/>
            <w:shd w:val="pct5" w:color="000000" w:fill="FFFFFF"/>
            <w:vAlign w:val="center"/>
          </w:tcPr>
          <w:p w:rsidR="000E0575" w:rsidRPr="00487885" w:rsidRDefault="00D5240F" w:rsidP="00562F12">
            <w:pPr>
              <w:overflowPunct/>
              <w:autoSpaceDE/>
              <w:autoSpaceDN/>
              <w:adjustRightInd/>
              <w:ind w:left="-167" w:right="-100"/>
              <w:jc w:val="center"/>
              <w:textAlignment w:val="auto"/>
              <w:rPr>
                <w:bCs/>
                <w:sz w:val="20"/>
              </w:rPr>
            </w:pPr>
            <w:r w:rsidRPr="00487885">
              <w:rPr>
                <w:sz w:val="20"/>
              </w:rPr>
              <w:t>-</w:t>
            </w:r>
          </w:p>
        </w:tc>
        <w:tc>
          <w:tcPr>
            <w:tcW w:w="1329" w:type="dxa"/>
            <w:shd w:val="pct5" w:color="000000" w:fill="FFFFFF"/>
            <w:vAlign w:val="center"/>
          </w:tcPr>
          <w:p w:rsidR="000E0575" w:rsidRPr="00487885" w:rsidRDefault="00D5240F" w:rsidP="000E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87885">
              <w:rPr>
                <w:sz w:val="20"/>
              </w:rPr>
              <w:t>-</w:t>
            </w:r>
          </w:p>
        </w:tc>
      </w:tr>
    </w:tbl>
    <w:p w:rsidR="002824CE" w:rsidRDefault="00171380" w:rsidP="00A019A4">
      <w:r>
        <w:rPr>
          <w:noProof/>
        </w:rPr>
        <w:pict>
          <v:roundrect id="_x0000_s1044" style="position:absolute;margin-left:0;margin-top:.85pt;width:4in;height:179pt;z-index:251654144;mso-position-horizontal-relative:text;mso-position-vertical-relative:text" arcsize="10923f" strokecolor="#9bbb59" strokeweight="2.5pt">
            <v:shadow color="#868686"/>
            <v:textbox style="mso-next-textbox:#_x0000_s1044" inset=",.3mm,,.3mm">
              <w:txbxContent>
                <w:p w:rsidR="00993415" w:rsidRPr="00F13AED" w:rsidRDefault="00993415" w:rsidP="007E2A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F13AED">
                    <w:rPr>
                      <w:sz w:val="27"/>
                      <w:szCs w:val="27"/>
                    </w:rPr>
                    <w:t xml:space="preserve">Уровень безработицы на конец </w:t>
                  </w:r>
                  <w:r w:rsidR="00F13AED" w:rsidRPr="00F13AED">
                    <w:rPr>
                      <w:sz w:val="27"/>
                      <w:szCs w:val="27"/>
                    </w:rPr>
                    <w:t>янва</w:t>
                  </w:r>
                  <w:r w:rsidRPr="00F13AED">
                    <w:rPr>
                      <w:sz w:val="27"/>
                      <w:szCs w:val="27"/>
                    </w:rPr>
                    <w:t>ря 201</w:t>
                  </w:r>
                  <w:r w:rsidR="00F13AED" w:rsidRPr="00F13AED">
                    <w:rPr>
                      <w:sz w:val="27"/>
                      <w:szCs w:val="27"/>
                    </w:rPr>
                    <w:t>8</w:t>
                  </w:r>
                  <w:r w:rsidRPr="00F13AED">
                    <w:rPr>
                      <w:sz w:val="27"/>
                      <w:szCs w:val="27"/>
                    </w:rPr>
                    <w:t xml:space="preserve"> года по сравнению с концом </w:t>
                  </w:r>
                  <w:r w:rsidR="00F13AED" w:rsidRPr="00F13AED">
                    <w:rPr>
                      <w:sz w:val="27"/>
                      <w:szCs w:val="27"/>
                    </w:rPr>
                    <w:t>дека</w:t>
                  </w:r>
                  <w:r w:rsidRPr="00F13AED">
                    <w:rPr>
                      <w:sz w:val="27"/>
                      <w:szCs w:val="27"/>
                    </w:rPr>
                    <w:t xml:space="preserve">бря 2017 года </w:t>
                  </w:r>
                  <w:r w:rsidR="00F13AED" w:rsidRPr="00F13AED">
                    <w:rPr>
                      <w:sz w:val="27"/>
                      <w:szCs w:val="27"/>
                    </w:rPr>
                    <w:t>не изменился</w:t>
                  </w:r>
                  <w:r w:rsidRPr="00F13AED">
                    <w:rPr>
                      <w:sz w:val="27"/>
                      <w:szCs w:val="27"/>
                    </w:rPr>
                    <w:t>.</w:t>
                  </w:r>
                </w:p>
                <w:p w:rsidR="00993415" w:rsidRPr="00F13AED" w:rsidRDefault="00993415" w:rsidP="007E2A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F13AED">
                    <w:rPr>
                      <w:sz w:val="27"/>
                      <w:szCs w:val="27"/>
                    </w:rPr>
                    <w:t xml:space="preserve">Напряженность на рынке труда в </w:t>
                  </w:r>
                  <w:r w:rsidR="00F13AED" w:rsidRPr="00F13AED">
                    <w:rPr>
                      <w:sz w:val="27"/>
                      <w:szCs w:val="27"/>
                    </w:rPr>
                    <w:t>янва</w:t>
                  </w:r>
                  <w:r w:rsidRPr="00F13AED">
                    <w:rPr>
                      <w:sz w:val="27"/>
                      <w:szCs w:val="27"/>
                    </w:rPr>
                    <w:t>ре 201</w:t>
                  </w:r>
                  <w:r w:rsidR="00F13AED" w:rsidRPr="00F13AED">
                    <w:rPr>
                      <w:sz w:val="27"/>
                      <w:szCs w:val="27"/>
                    </w:rPr>
                    <w:t>8</w:t>
                  </w:r>
                  <w:r w:rsidRPr="00F13AED">
                    <w:rPr>
                      <w:sz w:val="27"/>
                      <w:szCs w:val="27"/>
                    </w:rPr>
                    <w:t xml:space="preserve"> года по сравнению с </w:t>
                  </w:r>
                  <w:r w:rsidR="00F13AED" w:rsidRPr="00F13AED">
                    <w:rPr>
                      <w:sz w:val="27"/>
                      <w:szCs w:val="27"/>
                    </w:rPr>
                    <w:t>дека</w:t>
                  </w:r>
                  <w:r w:rsidRPr="00F13AED">
                    <w:rPr>
                      <w:sz w:val="27"/>
                      <w:szCs w:val="27"/>
                    </w:rPr>
                    <w:t xml:space="preserve">брем 2017 года </w:t>
                  </w:r>
                  <w:r w:rsidR="00F13AED" w:rsidRPr="00F13AED">
                    <w:rPr>
                      <w:sz w:val="27"/>
                      <w:szCs w:val="27"/>
                    </w:rPr>
                    <w:t>уменьшилас</w:t>
                  </w:r>
                  <w:r w:rsidRPr="00F13AED">
                    <w:rPr>
                      <w:sz w:val="27"/>
                      <w:szCs w:val="27"/>
                    </w:rPr>
                    <w:t xml:space="preserve">ь на </w:t>
                  </w:r>
                  <w:r w:rsidR="00F13AED" w:rsidRPr="00F13AED">
                    <w:rPr>
                      <w:sz w:val="27"/>
                      <w:szCs w:val="27"/>
                    </w:rPr>
                    <w:t>29,6</w:t>
                  </w:r>
                  <w:r w:rsidRPr="00F13AED">
                    <w:rPr>
                      <w:sz w:val="27"/>
                      <w:szCs w:val="27"/>
                    </w:rPr>
                    <w:t>%.</w:t>
                  </w:r>
                </w:p>
                <w:p w:rsidR="00993415" w:rsidRPr="00F13AED" w:rsidRDefault="00993415" w:rsidP="00D5240F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ind w:left="0" w:firstLine="181"/>
                    <w:jc w:val="both"/>
                    <w:rPr>
                      <w:sz w:val="27"/>
                      <w:szCs w:val="27"/>
                    </w:rPr>
                  </w:pPr>
                  <w:r w:rsidRPr="00F13AED">
                    <w:rPr>
                      <w:sz w:val="27"/>
                      <w:szCs w:val="27"/>
                    </w:rPr>
                    <w:t xml:space="preserve">Задолженность по заработной плате на конец </w:t>
                  </w:r>
                  <w:r w:rsidR="00D80556">
                    <w:rPr>
                      <w:sz w:val="27"/>
                      <w:szCs w:val="27"/>
                    </w:rPr>
                    <w:t>янва</w:t>
                  </w:r>
                  <w:r w:rsidRPr="00F13AED">
                    <w:rPr>
                      <w:sz w:val="27"/>
                      <w:szCs w:val="27"/>
                    </w:rPr>
                    <w:t>ря 201</w:t>
                  </w:r>
                  <w:r w:rsidR="00D80556">
                    <w:rPr>
                      <w:sz w:val="27"/>
                      <w:szCs w:val="27"/>
                    </w:rPr>
                    <w:t>8</w:t>
                  </w:r>
                  <w:r w:rsidRPr="00F13AED">
                    <w:rPr>
                      <w:sz w:val="27"/>
                      <w:szCs w:val="27"/>
                    </w:rPr>
                    <w:t xml:space="preserve"> года отсутствовала. (На 01.</w:t>
                  </w:r>
                  <w:r w:rsidR="00D80556">
                    <w:rPr>
                      <w:sz w:val="27"/>
                      <w:szCs w:val="27"/>
                    </w:rPr>
                    <w:t>02</w:t>
                  </w:r>
                  <w:r w:rsidRPr="00F13AED">
                    <w:rPr>
                      <w:sz w:val="27"/>
                      <w:szCs w:val="27"/>
                    </w:rPr>
                    <w:t>.201</w:t>
                  </w:r>
                  <w:r w:rsidR="00D80556">
                    <w:rPr>
                      <w:sz w:val="27"/>
                      <w:szCs w:val="27"/>
                    </w:rPr>
                    <w:t>7</w:t>
                  </w:r>
                  <w:r w:rsidRPr="00F13AED">
                    <w:rPr>
                      <w:sz w:val="27"/>
                      <w:szCs w:val="27"/>
                    </w:rPr>
                    <w:t xml:space="preserve">г. задолженность по заработной плате составляла </w:t>
                  </w:r>
                  <w:r w:rsidR="00D80556">
                    <w:rPr>
                      <w:sz w:val="27"/>
                      <w:szCs w:val="27"/>
                    </w:rPr>
                    <w:t>50,8</w:t>
                  </w:r>
                  <w:r w:rsidRPr="00F13AED">
                    <w:rPr>
                      <w:sz w:val="27"/>
                      <w:szCs w:val="27"/>
                    </w:rPr>
                    <w:t xml:space="preserve"> млн. руб.).</w:t>
                  </w:r>
                </w:p>
              </w:txbxContent>
            </v:textbox>
          </v:roundrect>
        </w:pict>
      </w:r>
    </w:p>
    <w:p w:rsidR="002824CE" w:rsidRDefault="002824CE" w:rsidP="00A019A4"/>
    <w:p w:rsidR="002824CE" w:rsidRDefault="002824CE" w:rsidP="00A019A4"/>
    <w:p w:rsidR="007334AE" w:rsidRDefault="007334A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2824CE" w:rsidRDefault="002824CE" w:rsidP="00A019A4"/>
    <w:p w:rsidR="00A3388C" w:rsidRDefault="00A3388C" w:rsidP="00A019A4"/>
    <w:p w:rsidR="00FF233C" w:rsidRDefault="00FF233C" w:rsidP="00A019A4"/>
    <w:p w:rsidR="00487885" w:rsidRDefault="00487885" w:rsidP="00487885">
      <w:pPr>
        <w:rPr>
          <w:sz w:val="20"/>
        </w:rPr>
      </w:pPr>
    </w:p>
    <w:p w:rsidR="008E15D5" w:rsidRDefault="008E15D5" w:rsidP="00A019A4">
      <w:pPr>
        <w:rPr>
          <w:sz w:val="20"/>
        </w:rPr>
      </w:pPr>
    </w:p>
    <w:p w:rsidR="007D18EE" w:rsidRDefault="00171380" w:rsidP="00FF233C">
      <w:pPr>
        <w:pStyle w:val="3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n-US"/>
        </w:rPr>
        <w:lastRenderedPageBreak/>
        <w:pict>
          <v:roundrect id="_x0000_s1050" style="position:absolute;margin-left:373.6pt;margin-top:-4.7pt;width:388.45pt;height:242pt;z-index:251655168;mso-position-horizontal-relative:text;mso-position-vertical-relative:text;mso-width-relative:margin;mso-height-relative:margin" arcsize="10923f" strokecolor="#9bbb59" strokeweight="2.5pt">
            <v:shadow color="#868686"/>
            <v:textbox style="mso-next-textbox:#_x0000_s1050">
              <w:txbxContent>
                <w:p w:rsidR="00993415" w:rsidRPr="00487885" w:rsidRDefault="00993415" w:rsidP="008535D9">
                  <w:pPr>
                    <w:numPr>
                      <w:ilvl w:val="0"/>
                      <w:numId w:val="3"/>
                    </w:numPr>
                    <w:spacing w:after="120"/>
                    <w:ind w:left="426" w:hanging="426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487885">
                    <w:rPr>
                      <w:sz w:val="27"/>
                      <w:szCs w:val="27"/>
                    </w:rPr>
                    <w:t>На 1.</w:t>
                  </w:r>
                  <w:r w:rsidR="00D80556">
                    <w:rPr>
                      <w:sz w:val="27"/>
                      <w:szCs w:val="27"/>
                    </w:rPr>
                    <w:t>01</w:t>
                  </w:r>
                  <w:r w:rsidRPr="00487885">
                    <w:rPr>
                      <w:sz w:val="27"/>
                      <w:szCs w:val="27"/>
                    </w:rPr>
                    <w:t>.201</w:t>
                  </w:r>
                  <w:r w:rsidR="00D80556">
                    <w:rPr>
                      <w:sz w:val="27"/>
                      <w:szCs w:val="27"/>
                    </w:rPr>
                    <w:t>8</w:t>
                  </w:r>
                  <w:r w:rsidRPr="00487885">
                    <w:rPr>
                      <w:sz w:val="27"/>
                      <w:szCs w:val="27"/>
                    </w:rPr>
                    <w:t xml:space="preserve"> года прибыль прибыльных организаций города превысила убыток, полученный убыточными организациями, на </w:t>
                  </w:r>
                  <w:r w:rsidR="00D80556">
                    <w:rPr>
                      <w:sz w:val="27"/>
                      <w:szCs w:val="27"/>
                    </w:rPr>
                    <w:t>73,7</w:t>
                  </w:r>
                  <w:r w:rsidRPr="00487885">
                    <w:rPr>
                      <w:sz w:val="27"/>
                      <w:szCs w:val="27"/>
                    </w:rPr>
                    <w:t xml:space="preserve"> млрд. руб. (на 1.</w:t>
                  </w:r>
                  <w:r w:rsidR="00D80556">
                    <w:rPr>
                      <w:sz w:val="27"/>
                      <w:szCs w:val="27"/>
                    </w:rPr>
                    <w:t>01</w:t>
                  </w:r>
                  <w:r w:rsidRPr="00487885">
                    <w:rPr>
                      <w:sz w:val="27"/>
                      <w:szCs w:val="27"/>
                    </w:rPr>
                    <w:t>.201</w:t>
                  </w:r>
                  <w:r w:rsidR="00D80556">
                    <w:rPr>
                      <w:sz w:val="27"/>
                      <w:szCs w:val="27"/>
                    </w:rPr>
                    <w:t>7</w:t>
                  </w:r>
                  <w:r w:rsidRPr="00487885">
                    <w:rPr>
                      <w:sz w:val="27"/>
                      <w:szCs w:val="27"/>
                    </w:rPr>
                    <w:t xml:space="preserve"> - на </w:t>
                  </w:r>
                  <w:r w:rsidR="00D80556">
                    <w:rPr>
                      <w:sz w:val="27"/>
                      <w:szCs w:val="27"/>
                    </w:rPr>
                    <w:t>67,4</w:t>
                  </w:r>
                  <w:r w:rsidRPr="00487885">
                    <w:rPr>
                      <w:sz w:val="27"/>
                      <w:szCs w:val="27"/>
                    </w:rPr>
                    <w:t xml:space="preserve"> млрд. руб.).</w:t>
                  </w:r>
                </w:p>
                <w:p w:rsidR="00993415" w:rsidRPr="00487885" w:rsidRDefault="00993415" w:rsidP="00B42E81">
                  <w:pPr>
                    <w:numPr>
                      <w:ilvl w:val="0"/>
                      <w:numId w:val="3"/>
                    </w:numPr>
                    <w:spacing w:after="120"/>
                    <w:ind w:left="426" w:hanging="426"/>
                    <w:jc w:val="both"/>
                  </w:pPr>
                  <w:r w:rsidRPr="00487885">
                    <w:rPr>
                      <w:sz w:val="27"/>
                      <w:szCs w:val="27"/>
                    </w:rPr>
                    <w:t xml:space="preserve">В </w:t>
                  </w:r>
                  <w:r w:rsidR="00012369">
                    <w:rPr>
                      <w:sz w:val="27"/>
                      <w:szCs w:val="27"/>
                    </w:rPr>
                    <w:t>дека</w:t>
                  </w:r>
                  <w:r w:rsidRPr="00487885">
                    <w:rPr>
                      <w:sz w:val="27"/>
                      <w:szCs w:val="27"/>
                    </w:rPr>
                    <w:t>бре 2017 года наибольшее уменьшение доли убыточных организаций произошло в сфере: водоснабжения; водоотведения, организаций сбора и утилизации отходов, деятельности по ликвидации загрязнений на 28,6 пп., деятельности гостиниц и предприятий общественного питания на 14,3 пп., операций с недвижимым имуществом на 12,5 пп., деятельности в области культуры, спорта, организации досуга и развлечений на 11,1 пп., образования на 5,6 пп.</w:t>
                  </w:r>
                </w:p>
                <w:p w:rsidR="00993415" w:rsidRDefault="00993415"/>
              </w:txbxContent>
            </v:textbox>
          </v:roundrect>
        </w:pict>
      </w:r>
      <w:r w:rsidR="007D18EE">
        <w:rPr>
          <w:color w:val="FF0000"/>
          <w:sz w:val="32"/>
          <w:szCs w:val="32"/>
        </w:rPr>
        <w:t>Финансы организаций</w:t>
      </w:r>
    </w:p>
    <w:p w:rsidR="007D18EE" w:rsidRDefault="00FB6DF2" w:rsidP="00FF233C">
      <w:pPr>
        <w:pStyle w:val="3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8255</wp:posOffset>
            </wp:positionV>
            <wp:extent cx="4784090" cy="2838450"/>
            <wp:effectExtent l="0" t="0" r="0" b="0"/>
            <wp:wrapNone/>
            <wp:docPr id="69" name="Объект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Default="003F47B7" w:rsidP="003F47B7"/>
    <w:p w:rsidR="003F47B7" w:rsidRPr="003F47B7" w:rsidRDefault="003F47B7" w:rsidP="003F47B7"/>
    <w:p w:rsidR="00912210" w:rsidRPr="008B5C49" w:rsidRDefault="00912210" w:rsidP="00FF233C">
      <w:pPr>
        <w:pStyle w:val="3"/>
        <w:rPr>
          <w:rFonts w:ascii="Times New Roman" w:hAnsi="Times New Roman" w:cs="Times New Roman"/>
          <w:b w:val="0"/>
          <w:color w:val="FF0000"/>
          <w:sz w:val="27"/>
          <w:szCs w:val="27"/>
        </w:rPr>
      </w:pPr>
    </w:p>
    <w:p w:rsidR="00FF233C" w:rsidRPr="00896490" w:rsidRDefault="00F35B46" w:rsidP="00FF233C">
      <w:pPr>
        <w:pStyle w:val="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Инвестиции</w:t>
      </w:r>
    </w:p>
    <w:p w:rsidR="00896490" w:rsidRPr="00896490" w:rsidRDefault="00896490" w:rsidP="00896490"/>
    <w:p w:rsidR="00896490" w:rsidRPr="00896490" w:rsidRDefault="00896490" w:rsidP="00896490"/>
    <w:p w:rsidR="00896490" w:rsidRPr="00896490" w:rsidRDefault="00171380" w:rsidP="00896490">
      <w:r>
        <w:rPr>
          <w:noProof/>
        </w:rPr>
        <w:pict>
          <v:roundrect id="_x0000_s1096" style="position:absolute;margin-left:15.6pt;margin-top:1.3pt;width:574.7pt;height:109.55pt;z-index:251666432;mso-width-relative:margin;mso-height-relative:margin" arcsize="10923f" strokecolor="#9bbb59" strokeweight="2.5pt">
            <v:shadow color="#868686"/>
            <v:textbox style="mso-next-textbox:#_x0000_s1096">
              <w:txbxContent>
                <w:p w:rsidR="00993415" w:rsidRPr="00636D9B" w:rsidRDefault="00993415" w:rsidP="00CA2204">
                  <w:pPr>
                    <w:spacing w:after="120" w:line="276" w:lineRule="auto"/>
                    <w:ind w:left="284"/>
                    <w:jc w:val="both"/>
                    <w:rPr>
                      <w:sz w:val="10"/>
                      <w:szCs w:val="10"/>
                    </w:rPr>
                  </w:pPr>
                </w:p>
                <w:p w:rsidR="00993415" w:rsidRPr="00CA2204" w:rsidRDefault="00993415" w:rsidP="00CA2204">
                  <w:pPr>
                    <w:spacing w:after="120" w:line="276" w:lineRule="auto"/>
                    <w:ind w:left="284"/>
                    <w:jc w:val="both"/>
                    <w:rPr>
                      <w:sz w:val="27"/>
                      <w:szCs w:val="27"/>
                    </w:rPr>
                  </w:pPr>
                  <w:r w:rsidRPr="00231BEB">
                    <w:rPr>
                      <w:sz w:val="27"/>
                      <w:szCs w:val="27"/>
                    </w:rPr>
                    <w:t>Инвестиции в основной капитал за январь-</w:t>
                  </w:r>
                  <w:r w:rsidR="00D80556">
                    <w:rPr>
                      <w:sz w:val="27"/>
                      <w:szCs w:val="27"/>
                    </w:rPr>
                    <w:t>дека</w:t>
                  </w:r>
                  <w:r>
                    <w:rPr>
                      <w:sz w:val="27"/>
                      <w:szCs w:val="27"/>
                    </w:rPr>
                    <w:t>брь</w:t>
                  </w:r>
                  <w:r w:rsidRPr="00231BEB">
                    <w:rPr>
                      <w:sz w:val="27"/>
                      <w:szCs w:val="27"/>
                    </w:rPr>
                    <w:t xml:space="preserve"> 2017 года </w:t>
                  </w:r>
                  <w:r w:rsidRPr="00D37A02">
                    <w:rPr>
                      <w:sz w:val="27"/>
                      <w:szCs w:val="27"/>
                    </w:rPr>
                    <w:t xml:space="preserve">составили </w:t>
                  </w:r>
                  <w:r w:rsidR="00D80556">
                    <w:rPr>
                      <w:sz w:val="27"/>
                      <w:szCs w:val="27"/>
                    </w:rPr>
                    <w:t>95</w:t>
                  </w:r>
                  <w:r w:rsidRPr="00D37A02">
                    <w:rPr>
                      <w:sz w:val="27"/>
                      <w:szCs w:val="27"/>
                    </w:rPr>
                    <w:t xml:space="preserve"> млрд. руб. Наибольшую долю в структуре инвестиций в основной капитал занимают инвестиции: в профессиональную, научную и техническую деятельность (</w:t>
                  </w:r>
                  <w:r w:rsidR="00D80556">
                    <w:rPr>
                      <w:sz w:val="27"/>
                      <w:szCs w:val="27"/>
                    </w:rPr>
                    <w:t>28,4</w:t>
                  </w:r>
                  <w:r w:rsidRPr="00D37A02">
                    <w:rPr>
                      <w:sz w:val="27"/>
                      <w:szCs w:val="27"/>
                    </w:rPr>
                    <w:t>%), в транспортировку и хранение (</w:t>
                  </w:r>
                  <w:r w:rsidR="00D80556">
                    <w:rPr>
                      <w:sz w:val="27"/>
                      <w:szCs w:val="27"/>
                    </w:rPr>
                    <w:t>15,2</w:t>
                  </w:r>
                  <w:r w:rsidRPr="00D37A02">
                    <w:rPr>
                      <w:sz w:val="27"/>
                      <w:szCs w:val="27"/>
                    </w:rPr>
                    <w:t>%), в обрабатывающую промышленность (</w:t>
                  </w:r>
                  <w:r w:rsidR="00D80556">
                    <w:rPr>
                      <w:sz w:val="27"/>
                      <w:szCs w:val="27"/>
                    </w:rPr>
                    <w:t>14,8</w:t>
                  </w:r>
                  <w:r w:rsidRPr="00D37A02">
                    <w:rPr>
                      <w:sz w:val="27"/>
                      <w:szCs w:val="27"/>
                    </w:rPr>
                    <w:t>%).</w:t>
                  </w:r>
                </w:p>
              </w:txbxContent>
            </v:textbox>
          </v:roundrect>
        </w:pict>
      </w:r>
    </w:p>
    <w:p w:rsidR="00896490" w:rsidRPr="00896490" w:rsidRDefault="00896490" w:rsidP="00896490"/>
    <w:p w:rsidR="007041EB" w:rsidRDefault="007041EB" w:rsidP="004A1548"/>
    <w:p w:rsidR="004A1548" w:rsidRDefault="004A1548" w:rsidP="004A1548"/>
    <w:p w:rsidR="004A1548" w:rsidRDefault="004A1548" w:rsidP="004A1548"/>
    <w:p w:rsidR="004A1548" w:rsidRDefault="004A1548" w:rsidP="004A1548"/>
    <w:p w:rsidR="001D7D24" w:rsidRDefault="001D7D24" w:rsidP="004A1548"/>
    <w:p w:rsidR="001D7D24" w:rsidRDefault="001D7D24" w:rsidP="004A1548"/>
    <w:p w:rsidR="00925110" w:rsidRDefault="00925110" w:rsidP="00925110">
      <w:pPr>
        <w:pStyle w:val="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Строительство и потребительский рынок</w:t>
      </w:r>
    </w:p>
    <w:p w:rsidR="00D37EF2" w:rsidRDefault="00D37EF2" w:rsidP="00D37EF2"/>
    <w:p w:rsidR="00627AA5" w:rsidRDefault="00627AA5" w:rsidP="00D37EF2"/>
    <w:p w:rsidR="00627AA5" w:rsidRDefault="00627AA5" w:rsidP="00D37EF2"/>
    <w:p w:rsidR="00627AA5" w:rsidRPr="00D37EF2" w:rsidRDefault="00627AA5" w:rsidP="00D37EF2"/>
    <w:p w:rsidR="00925110" w:rsidRPr="00912210" w:rsidRDefault="00171380" w:rsidP="004A1548">
      <w:r>
        <w:rPr>
          <w:noProof/>
        </w:rPr>
        <w:pict>
          <v:roundrect id="_x0000_s1088" style="position:absolute;margin-left:-12.55pt;margin-top:12.8pt;width:294.1pt;height:175.7pt;z-index:251663360" arcsize="10923f" o:regroupid="2" filled="f" strokecolor="#9c0" strokeweight="2.25pt">
            <v:textbox style="mso-next-textbox:#_x0000_s1088">
              <w:txbxContent>
                <w:p w:rsidR="00993415" w:rsidRPr="0030102F" w:rsidRDefault="00993415" w:rsidP="0089166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540"/>
                    </w:tabs>
                    <w:ind w:left="567" w:hanging="567"/>
                    <w:jc w:val="both"/>
                    <w:rPr>
                      <w:sz w:val="27"/>
                      <w:szCs w:val="27"/>
                    </w:rPr>
                  </w:pPr>
                  <w:r w:rsidRPr="0030102F">
                    <w:rPr>
                      <w:sz w:val="27"/>
                      <w:szCs w:val="27"/>
                    </w:rPr>
                    <w:t xml:space="preserve">Объем ввода </w:t>
                  </w:r>
                  <w:r w:rsidR="0030102F" w:rsidRPr="0030102F">
                    <w:rPr>
                      <w:sz w:val="27"/>
                      <w:szCs w:val="27"/>
                    </w:rPr>
                    <w:t xml:space="preserve">ИЖС </w:t>
                  </w:r>
                  <w:r w:rsidRPr="0030102F">
                    <w:rPr>
                      <w:sz w:val="27"/>
                      <w:szCs w:val="27"/>
                    </w:rPr>
                    <w:t xml:space="preserve">в </w:t>
                  </w:r>
                  <w:r w:rsidR="0030102F" w:rsidRPr="0030102F">
                    <w:rPr>
                      <w:sz w:val="27"/>
                      <w:szCs w:val="27"/>
                    </w:rPr>
                    <w:t>январе</w:t>
                  </w:r>
                  <w:r w:rsidRPr="0030102F">
                    <w:rPr>
                      <w:sz w:val="27"/>
                      <w:szCs w:val="27"/>
                    </w:rPr>
                    <w:t xml:space="preserve"> 201</w:t>
                  </w:r>
                  <w:r w:rsidR="0030102F" w:rsidRPr="0030102F">
                    <w:rPr>
                      <w:sz w:val="27"/>
                      <w:szCs w:val="27"/>
                    </w:rPr>
                    <w:t>8</w:t>
                  </w:r>
                  <w:r w:rsidRPr="0030102F">
                    <w:rPr>
                      <w:sz w:val="27"/>
                      <w:szCs w:val="27"/>
                    </w:rPr>
                    <w:t xml:space="preserve"> года составил </w:t>
                  </w:r>
                  <w:r w:rsidR="0030102F" w:rsidRPr="0030102F">
                    <w:rPr>
                      <w:sz w:val="27"/>
                      <w:szCs w:val="27"/>
                    </w:rPr>
                    <w:t>3,6</w:t>
                  </w:r>
                  <w:r w:rsidRPr="0030102F">
                    <w:rPr>
                      <w:sz w:val="27"/>
                      <w:szCs w:val="27"/>
                    </w:rPr>
                    <w:t xml:space="preserve"> тыс. кв.м</w:t>
                  </w:r>
                  <w:r w:rsidR="0030102F">
                    <w:rPr>
                      <w:sz w:val="27"/>
                      <w:szCs w:val="27"/>
                    </w:rPr>
                    <w:t>.</w:t>
                  </w:r>
                </w:p>
                <w:p w:rsidR="00993415" w:rsidRPr="00A26522" w:rsidRDefault="00993415" w:rsidP="0089166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540"/>
                    </w:tabs>
                    <w:ind w:left="567" w:hanging="567"/>
                    <w:jc w:val="both"/>
                    <w:rPr>
                      <w:sz w:val="27"/>
                      <w:szCs w:val="27"/>
                    </w:rPr>
                  </w:pPr>
                  <w:r w:rsidRPr="0030102F">
                    <w:rPr>
                      <w:sz w:val="27"/>
                      <w:szCs w:val="27"/>
                    </w:rPr>
                    <w:t xml:space="preserve">В </w:t>
                  </w:r>
                  <w:r w:rsidR="0030102F">
                    <w:rPr>
                      <w:sz w:val="27"/>
                      <w:szCs w:val="27"/>
                    </w:rPr>
                    <w:t>январ</w:t>
                  </w:r>
                  <w:r w:rsidRPr="0030102F">
                    <w:rPr>
                      <w:sz w:val="27"/>
                      <w:szCs w:val="27"/>
                    </w:rPr>
                    <w:t>е 201</w:t>
                  </w:r>
                  <w:r w:rsidR="0030102F">
                    <w:rPr>
                      <w:sz w:val="27"/>
                      <w:szCs w:val="27"/>
                    </w:rPr>
                    <w:t>8</w:t>
                  </w:r>
                  <w:r w:rsidRPr="0030102F">
                    <w:rPr>
                      <w:sz w:val="27"/>
                      <w:szCs w:val="27"/>
                    </w:rPr>
                    <w:t xml:space="preserve"> года к </w:t>
                  </w:r>
                  <w:r w:rsidR="0030102F">
                    <w:rPr>
                      <w:sz w:val="27"/>
                      <w:szCs w:val="27"/>
                    </w:rPr>
                    <w:t>дека</w:t>
                  </w:r>
                  <w:r w:rsidRPr="0030102F">
                    <w:rPr>
                      <w:sz w:val="27"/>
                      <w:szCs w:val="27"/>
                    </w:rPr>
                    <w:t>брю 2017 года наблюдалось у</w:t>
                  </w:r>
                  <w:r w:rsidR="0030102F">
                    <w:rPr>
                      <w:sz w:val="27"/>
                      <w:szCs w:val="27"/>
                    </w:rPr>
                    <w:t>меньшение</w:t>
                  </w:r>
                  <w:r w:rsidRPr="0030102F">
                    <w:rPr>
                      <w:sz w:val="27"/>
                      <w:szCs w:val="27"/>
                    </w:rPr>
                    <w:t xml:space="preserve"> объемов оборота розничной торговл</w:t>
                  </w:r>
                  <w:r w:rsidRPr="0030102F">
                    <w:rPr>
                      <w:color w:val="000000"/>
                      <w:sz w:val="20"/>
                      <w:szCs w:val="27"/>
                    </w:rPr>
                    <w:t>и</w:t>
                  </w:r>
                  <w:r w:rsidRPr="0030102F">
                    <w:rPr>
                      <w:color w:val="000000"/>
                      <w:sz w:val="27"/>
                      <w:szCs w:val="27"/>
                    </w:rPr>
                    <w:t xml:space="preserve"> на </w:t>
                  </w:r>
                  <w:r w:rsidR="0030102F">
                    <w:rPr>
                      <w:color w:val="000000"/>
                      <w:sz w:val="27"/>
                      <w:szCs w:val="27"/>
                    </w:rPr>
                    <w:t>26,9</w:t>
                  </w:r>
                  <w:r w:rsidRPr="0030102F">
                    <w:rPr>
                      <w:color w:val="000000"/>
                      <w:sz w:val="27"/>
                      <w:szCs w:val="27"/>
                    </w:rPr>
                    <w:t xml:space="preserve">% и объемов оборота </w:t>
                  </w:r>
                  <w:r w:rsidRPr="0030102F">
                    <w:rPr>
                      <w:sz w:val="27"/>
                      <w:szCs w:val="27"/>
                    </w:rPr>
                    <w:t xml:space="preserve">общественного питания на </w:t>
                  </w:r>
                  <w:r w:rsidR="0030102F">
                    <w:rPr>
                      <w:sz w:val="27"/>
                      <w:szCs w:val="27"/>
                    </w:rPr>
                    <w:t>3,7</w:t>
                  </w:r>
                  <w:r w:rsidRPr="0030102F">
                    <w:rPr>
                      <w:sz w:val="27"/>
                      <w:szCs w:val="27"/>
                    </w:rPr>
                    <w:t>% по крупным и средним организациям.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87" style="position:absolute;margin-left:297pt;margin-top:12.8pt;width:450pt;height:204.5pt;z-index:251662336" o:regroupid="2" filled="f" stroked="f">
            <v:textbox style="mso-next-textbox:#_x0000_s1087">
              <w:txbxContent>
                <w:tbl>
                  <w:tblPr>
                    <w:tblOverlap w:val="never"/>
                    <w:tblW w:w="8505" w:type="dxa"/>
                    <w:jc w:val="center"/>
                    <w:tblBorders>
                      <w:insideH w:val="single" w:sz="18" w:space="0" w:color="FFFFFF"/>
                      <w:insideV w:val="single" w:sz="18" w:space="0" w:color="FFFFFF"/>
                    </w:tblBorders>
                    <w:tblLook w:val="00A0"/>
                  </w:tblPr>
                  <w:tblGrid>
                    <w:gridCol w:w="2912"/>
                    <w:gridCol w:w="986"/>
                    <w:gridCol w:w="1140"/>
                    <w:gridCol w:w="1163"/>
                    <w:gridCol w:w="1141"/>
                    <w:gridCol w:w="1163"/>
                  </w:tblGrid>
                  <w:tr w:rsidR="00993415" w:rsidRPr="00487885" w:rsidTr="006C4422">
                    <w:trPr>
                      <w:trHeight w:val="360"/>
                      <w:jc w:val="center"/>
                    </w:trPr>
                    <w:tc>
                      <w:tcPr>
                        <w:tcW w:w="2912" w:type="dxa"/>
                        <w:vMerge w:val="restart"/>
                        <w:shd w:val="pct20" w:color="000000" w:fill="FFFFFF"/>
                        <w:vAlign w:val="center"/>
                      </w:tcPr>
                      <w:p w:rsidR="00993415" w:rsidRPr="00487885" w:rsidRDefault="00993415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87885">
                          <w:rPr>
                            <w:b/>
                            <w:bCs/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86" w:type="dxa"/>
                        <w:vMerge w:val="restart"/>
                        <w:shd w:val="pct20" w:color="000000" w:fill="FFFFFF"/>
                        <w:vAlign w:val="center"/>
                      </w:tcPr>
                      <w:p w:rsidR="00993415" w:rsidRPr="00487885" w:rsidRDefault="00A26581" w:rsidP="00FA66E9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янва</w:t>
                        </w:r>
                        <w:r w:rsidR="00993415" w:rsidRPr="00487885">
                          <w:rPr>
                            <w:b/>
                            <w:bCs/>
                            <w:sz w:val="20"/>
                          </w:rPr>
                          <w:t>рь</w:t>
                        </w:r>
                      </w:p>
                      <w:p w:rsidR="00993415" w:rsidRPr="00487885" w:rsidRDefault="00993415" w:rsidP="00A2658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87885">
                          <w:rPr>
                            <w:b/>
                            <w:bCs/>
                            <w:sz w:val="20"/>
                          </w:rPr>
                          <w:t>201</w:t>
                        </w:r>
                        <w:r w:rsidR="00A26581">
                          <w:rPr>
                            <w:b/>
                            <w:bCs/>
                            <w:sz w:val="20"/>
                          </w:rPr>
                          <w:t>8</w:t>
                        </w:r>
                        <w:r w:rsidRPr="00487885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303" w:type="dxa"/>
                        <w:gridSpan w:val="2"/>
                        <w:shd w:val="pct20" w:color="000000" w:fill="FFFFFF"/>
                        <w:vAlign w:val="center"/>
                      </w:tcPr>
                      <w:p w:rsidR="00993415" w:rsidRPr="00487885" w:rsidRDefault="00993415" w:rsidP="00A2658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bCs/>
                            <w:sz w:val="20"/>
                          </w:rPr>
                        </w:pPr>
                        <w:r w:rsidRPr="00487885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 w:rsidR="00A26581">
                          <w:rPr>
                            <w:b/>
                            <w:bCs/>
                            <w:sz w:val="20"/>
                          </w:rPr>
                          <w:t>дека</w:t>
                        </w:r>
                        <w:r w:rsidRPr="00487885">
                          <w:rPr>
                            <w:b/>
                            <w:bCs/>
                            <w:sz w:val="20"/>
                          </w:rPr>
                          <w:t>брю 2017 г.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shd w:val="pct20" w:color="000000" w:fill="FFFFFF"/>
                        <w:vAlign w:val="center"/>
                      </w:tcPr>
                      <w:p w:rsidR="00993415" w:rsidRPr="00487885" w:rsidRDefault="00993415" w:rsidP="00A26581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rFonts w:ascii="Wingdings 3" w:hAnsi="Wingdings 3"/>
                            <w:b/>
                            <w:bCs/>
                            <w:sz w:val="20"/>
                          </w:rPr>
                        </w:pPr>
                        <w:r w:rsidRPr="00487885">
                          <w:rPr>
                            <w:b/>
                            <w:bCs/>
                            <w:sz w:val="20"/>
                          </w:rPr>
                          <w:t xml:space="preserve">к </w:t>
                        </w:r>
                        <w:r w:rsidR="00A26581">
                          <w:rPr>
                            <w:b/>
                            <w:bCs/>
                            <w:sz w:val="20"/>
                          </w:rPr>
                          <w:t>янва</w:t>
                        </w:r>
                        <w:r w:rsidRPr="00487885">
                          <w:rPr>
                            <w:b/>
                            <w:bCs/>
                            <w:sz w:val="20"/>
                          </w:rPr>
                          <w:t>рю 201</w:t>
                        </w:r>
                        <w:r w:rsidR="00A26581">
                          <w:rPr>
                            <w:b/>
                            <w:bCs/>
                            <w:sz w:val="20"/>
                          </w:rPr>
                          <w:t>7</w:t>
                        </w:r>
                        <w:r w:rsidRPr="00487885">
                          <w:rPr>
                            <w:b/>
                            <w:bCs/>
                            <w:sz w:val="20"/>
                          </w:rPr>
                          <w:t xml:space="preserve"> г.</w:t>
                        </w:r>
                      </w:p>
                    </w:tc>
                  </w:tr>
                  <w:tr w:rsidR="00993415" w:rsidRPr="00487885" w:rsidTr="002D7FD3">
                    <w:trPr>
                      <w:trHeight w:val="360"/>
                      <w:jc w:val="center"/>
                    </w:trPr>
                    <w:tc>
                      <w:tcPr>
                        <w:tcW w:w="2912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vMerge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8A5D3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87885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163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7F357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87885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  <w:tc>
                      <w:tcPr>
                        <w:tcW w:w="1141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7F357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87885">
                          <w:rPr>
                            <w:b/>
                            <w:sz w:val="20"/>
                          </w:rPr>
                          <w:t>в %</w:t>
                        </w:r>
                      </w:p>
                    </w:tc>
                    <w:tc>
                      <w:tcPr>
                        <w:tcW w:w="1163" w:type="dxa"/>
                        <w:tcBorders>
                          <w:bottom w:val="single" w:sz="18" w:space="0" w:color="FFFFFF"/>
                        </w:tcBorders>
                        <w:shd w:val="pct5" w:color="000000" w:fill="FFFFFF"/>
                      </w:tcPr>
                      <w:p w:rsidR="00993415" w:rsidRPr="00487885" w:rsidRDefault="00993415" w:rsidP="007F357E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487885">
                          <w:rPr>
                            <w:b/>
                            <w:sz w:val="20"/>
                          </w:rPr>
                          <w:t>тенденция</w:t>
                        </w:r>
                      </w:p>
                    </w:tc>
                  </w:tr>
                  <w:tr w:rsidR="00993415" w:rsidRPr="00487885" w:rsidTr="002D7FD3">
                    <w:trPr>
                      <w:trHeight w:val="315"/>
                      <w:jc w:val="center"/>
                    </w:trPr>
                    <w:tc>
                      <w:tcPr>
                        <w:tcW w:w="2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993415" w:rsidP="0030102F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487885">
                          <w:rPr>
                            <w:color w:val="000000"/>
                            <w:sz w:val="20"/>
                          </w:rPr>
                          <w:t xml:space="preserve">Ввод в </w:t>
                        </w:r>
                        <w:r w:rsidR="0030102F">
                          <w:rPr>
                            <w:color w:val="000000"/>
                            <w:sz w:val="20"/>
                          </w:rPr>
                          <w:t>действие ИЖС</w:t>
                        </w:r>
                        <w:r w:rsidRPr="00487885">
                          <w:rPr>
                            <w:color w:val="000000"/>
                            <w:sz w:val="20"/>
                          </w:rPr>
                          <w:t>, тыс. кв</w:t>
                        </w:r>
                        <w:proofErr w:type="gramStart"/>
                        <w:r w:rsidRPr="00487885">
                          <w:rPr>
                            <w:color w:val="000000"/>
                            <w:sz w:val="20"/>
                          </w:rPr>
                          <w:t>.м</w:t>
                        </w:r>
                        <w:proofErr w:type="gramEnd"/>
                      </w:p>
                    </w:tc>
                    <w:tc>
                      <w:tcPr>
                        <w:tcW w:w="98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E7148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771795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180,0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993415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623C40">
                        <w:pPr>
                          <w:overflowPunct/>
                          <w:autoSpaceDE/>
                          <w:autoSpaceDN/>
                          <w:adjustRightInd/>
                          <w:ind w:right="-34"/>
                          <w:suppressOverlap/>
                          <w:jc w:val="center"/>
                          <w:textAlignment w:val="auto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96,5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</w:tr>
                  <w:tr w:rsidR="00993415" w:rsidRPr="00487885" w:rsidTr="002D7FD3">
                    <w:trPr>
                      <w:trHeight w:val="315"/>
                      <w:jc w:val="center"/>
                    </w:trPr>
                    <w:tc>
                      <w:tcPr>
                        <w:tcW w:w="2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993415" w:rsidRPr="00487885" w:rsidRDefault="00993415" w:rsidP="00545D92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487885">
                          <w:rPr>
                            <w:color w:val="000000"/>
                            <w:sz w:val="20"/>
                          </w:rPr>
                          <w:t>Оборот розничной торговли по крупным и средним организациям, млрд</w:t>
                        </w:r>
                        <w:proofErr w:type="gramStart"/>
                        <w:r w:rsidRPr="00487885">
                          <w:rPr>
                            <w:color w:val="000000"/>
                            <w:sz w:val="20"/>
                          </w:rPr>
                          <w:t>.р</w:t>
                        </w:r>
                        <w:proofErr w:type="gramEnd"/>
                        <w:r w:rsidRPr="00487885">
                          <w:rPr>
                            <w:color w:val="000000"/>
                            <w:sz w:val="20"/>
                          </w:rPr>
                          <w:t>уб.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993415" w:rsidRPr="00487885" w:rsidRDefault="0030102F" w:rsidP="00222490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993415" w:rsidRPr="00487885" w:rsidRDefault="0030102F" w:rsidP="005922EA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73,1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993415" w:rsidRPr="00487885" w:rsidRDefault="0030102F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993415" w:rsidRPr="00487885" w:rsidRDefault="0030102F" w:rsidP="00B20FD4">
                        <w:pPr>
                          <w:overflowPunct/>
                          <w:autoSpaceDE/>
                          <w:autoSpaceDN/>
                          <w:adjustRightInd/>
                          <w:ind w:right="-34"/>
                          <w:suppressOverlap/>
                          <w:jc w:val="center"/>
                          <w:textAlignment w:val="auto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113,4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5" w:color="auto" w:fill="auto"/>
                        <w:vAlign w:val="center"/>
                      </w:tcPr>
                      <w:p w:rsidR="00993415" w:rsidRPr="00487885" w:rsidRDefault="00993415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  <w:tr w:rsidR="00993415" w:rsidRPr="00020266" w:rsidTr="002D7FD3">
                    <w:trPr>
                      <w:trHeight w:val="315"/>
                      <w:jc w:val="center"/>
                    </w:trPr>
                    <w:tc>
                      <w:tcPr>
                        <w:tcW w:w="2912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993415" w:rsidP="00647CA7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487885">
                          <w:rPr>
                            <w:color w:val="000000"/>
                            <w:sz w:val="20"/>
                          </w:rPr>
                          <w:t>Оборот общественного питания крупным и средним организациям, млрд</w:t>
                        </w:r>
                        <w:proofErr w:type="gramStart"/>
                        <w:r w:rsidRPr="00487885">
                          <w:rPr>
                            <w:color w:val="000000"/>
                            <w:sz w:val="20"/>
                          </w:rPr>
                          <w:t>.р</w:t>
                        </w:r>
                        <w:proofErr w:type="gramEnd"/>
                        <w:r w:rsidRPr="00487885">
                          <w:rPr>
                            <w:color w:val="000000"/>
                            <w:sz w:val="20"/>
                          </w:rPr>
                          <w:t>уб.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065B59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713E52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96,3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993415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E0"/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30102F" w:rsidP="004B639A">
                        <w:pPr>
                          <w:overflowPunct/>
                          <w:autoSpaceDE/>
                          <w:autoSpaceDN/>
                          <w:adjustRightInd/>
                          <w:ind w:right="-34"/>
                          <w:suppressOverlap/>
                          <w:jc w:val="center"/>
                          <w:textAlignment w:val="auto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128,2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pct20" w:color="auto" w:fill="auto"/>
                        <w:vAlign w:val="center"/>
                      </w:tcPr>
                      <w:p w:rsidR="00993415" w:rsidRPr="00487885" w:rsidRDefault="00993415" w:rsidP="00647CA7">
                        <w:pPr>
                          <w:suppressOverlap/>
                          <w:jc w:val="center"/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</w:pPr>
                        <w:r w:rsidRPr="00487885">
                          <w:rPr>
                            <w:rFonts w:ascii="Wingdings 3" w:hAnsi="Wingdings 3"/>
                            <w:bCs/>
                            <w:sz w:val="28"/>
                            <w:szCs w:val="28"/>
                          </w:rPr>
                          <w:sym w:font="Wingdings 3" w:char="F0DE"/>
                        </w:r>
                      </w:p>
                    </w:tc>
                  </w:tr>
                </w:tbl>
                <w:p w:rsidR="00993415" w:rsidRDefault="00993415" w:rsidP="00790248"/>
              </w:txbxContent>
            </v:textbox>
          </v:rect>
        </w:pict>
      </w:r>
    </w:p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Pr="00912210" w:rsidRDefault="00925110" w:rsidP="004A1548"/>
    <w:p w:rsidR="00925110" w:rsidRDefault="00925110" w:rsidP="004A1548"/>
    <w:p w:rsidR="00D677CA" w:rsidRPr="00D677CA" w:rsidRDefault="00D677CA" w:rsidP="004A1548"/>
    <w:p w:rsidR="00DF6324" w:rsidRDefault="00DF6324" w:rsidP="004A1548"/>
    <w:p w:rsidR="00297BF3" w:rsidRDefault="00297BF3" w:rsidP="004A1548"/>
    <w:p w:rsidR="00297BF3" w:rsidRDefault="00297BF3" w:rsidP="004A1548"/>
    <w:p w:rsidR="00FF0B54" w:rsidRDefault="00FF0B54" w:rsidP="004A1548"/>
    <w:p w:rsidR="00DF6324" w:rsidRDefault="00DF6324" w:rsidP="004A1548"/>
    <w:p w:rsidR="00DF6324" w:rsidRDefault="00DF6324" w:rsidP="004A1548"/>
    <w:p w:rsidR="00410EE7" w:rsidRDefault="00410EE7" w:rsidP="004A1548"/>
    <w:p w:rsidR="009F1B7A" w:rsidRDefault="009F1B7A" w:rsidP="004A1548"/>
    <w:p w:rsidR="00627AA5" w:rsidRDefault="00627AA5" w:rsidP="004A1548"/>
    <w:p w:rsidR="00627AA5" w:rsidRDefault="00627AA5" w:rsidP="004A1548"/>
    <w:p w:rsidR="001D7D24" w:rsidRDefault="001D7D24" w:rsidP="004A1548"/>
    <w:p w:rsidR="009F1B7A" w:rsidRDefault="009F1B7A" w:rsidP="004A1548"/>
    <w:p w:rsidR="00BD6FDA" w:rsidRDefault="00BD6FDA" w:rsidP="004A1548"/>
    <w:p w:rsidR="00FF0B54" w:rsidRDefault="00FF0B54" w:rsidP="004A1548"/>
    <w:p w:rsidR="00232CC8" w:rsidRPr="00F44BBC" w:rsidRDefault="00171380" w:rsidP="00232CC8">
      <w:pPr>
        <w:pStyle w:val="3"/>
        <w:rPr>
          <w:color w:val="FF0000"/>
          <w:sz w:val="32"/>
          <w:szCs w:val="32"/>
        </w:rPr>
      </w:pPr>
      <w:r w:rsidRPr="00171380">
        <w:rPr>
          <w:noProof/>
        </w:rPr>
        <w:lastRenderedPageBreak/>
        <w:pict>
          <v:rect id="_x0000_s1069" style="position:absolute;margin-left:340.05pt;margin-top:13.3pt;width:406.95pt;height:169.1pt;z-index:251657216" filled="f" stroked="f">
            <v:textbox style="mso-next-textbox:#_x0000_s1069">
              <w:txbxContent>
                <w:tbl>
                  <w:tblPr>
                    <w:tblOverlap w:val="never"/>
                    <w:tblW w:w="4902" w:type="dxa"/>
                    <w:jc w:val="center"/>
                    <w:tblBorders>
                      <w:insideH w:val="single" w:sz="18" w:space="0" w:color="FFFFFF"/>
                      <w:insideV w:val="single" w:sz="18" w:space="0" w:color="FFFFFF"/>
                    </w:tblBorders>
                    <w:tblLook w:val="00A0"/>
                  </w:tblPr>
                  <w:tblGrid>
                    <w:gridCol w:w="3001"/>
                    <w:gridCol w:w="1901"/>
                  </w:tblGrid>
                  <w:tr w:rsidR="00204C34" w:rsidRPr="00DE7F3A" w:rsidTr="00204C34">
                    <w:trPr>
                      <w:trHeight w:val="851"/>
                      <w:jc w:val="center"/>
                    </w:trPr>
                    <w:tc>
                      <w:tcPr>
                        <w:tcW w:w="3001" w:type="dxa"/>
                        <w:shd w:val="pct20" w:color="000000" w:fill="FFFFFF"/>
                        <w:vAlign w:val="center"/>
                      </w:tcPr>
                      <w:p w:rsidR="00204C34" w:rsidRPr="00DE7F3A" w:rsidRDefault="00204C34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DE7F3A">
                          <w:rPr>
                            <w:b/>
                            <w:bCs/>
                            <w:sz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901" w:type="dxa"/>
                        <w:shd w:val="pct20" w:color="000000" w:fill="FFFFFF"/>
                        <w:vAlign w:val="center"/>
                      </w:tcPr>
                      <w:p w:rsidR="00204C34" w:rsidRPr="00DE7F3A" w:rsidRDefault="00204C34" w:rsidP="00C131ED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январь</w:t>
                        </w:r>
                      </w:p>
                      <w:p w:rsidR="00204C34" w:rsidRPr="00DE7F3A" w:rsidRDefault="00204C34" w:rsidP="00C131ED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201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  <w:r w:rsidRPr="00DE7F3A">
                          <w:rPr>
                            <w:b/>
                            <w:sz w:val="20"/>
                          </w:rPr>
                          <w:t xml:space="preserve"> г.</w:t>
                        </w:r>
                      </w:p>
                      <w:p w:rsidR="00204C34" w:rsidRPr="00DE7F3A" w:rsidRDefault="00204C34" w:rsidP="00E42403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b/>
                            <w:sz w:val="20"/>
                          </w:rPr>
                        </w:pPr>
                        <w:r w:rsidRPr="00DE7F3A">
                          <w:rPr>
                            <w:b/>
                            <w:sz w:val="20"/>
                          </w:rPr>
                          <w:t>(</w:t>
                        </w:r>
                        <w:r w:rsidR="00E42403">
                          <w:rPr>
                            <w:b/>
                            <w:sz w:val="20"/>
                          </w:rPr>
                          <w:t>тыс</w:t>
                        </w:r>
                        <w:proofErr w:type="gramStart"/>
                        <w:r w:rsidRPr="00DE7F3A">
                          <w:rPr>
                            <w:b/>
                            <w:sz w:val="20"/>
                          </w:rPr>
                          <w:t>.р</w:t>
                        </w:r>
                        <w:proofErr w:type="gramEnd"/>
                        <w:r w:rsidRPr="00DE7F3A">
                          <w:rPr>
                            <w:b/>
                            <w:sz w:val="20"/>
                          </w:rPr>
                          <w:t>уб.)</w:t>
                        </w:r>
                      </w:p>
                    </w:tc>
                  </w:tr>
                  <w:tr w:rsidR="00204C34" w:rsidRPr="00DE7F3A" w:rsidTr="00204C34">
                    <w:trPr>
                      <w:trHeight w:val="662"/>
                      <w:jc w:val="center"/>
                    </w:trPr>
                    <w:tc>
                      <w:tcPr>
                        <w:tcW w:w="3001" w:type="dxa"/>
                        <w:shd w:val="pct5" w:color="000000" w:fill="FFFFFF"/>
                        <w:vAlign w:val="center"/>
                      </w:tcPr>
                      <w:p w:rsidR="00204C34" w:rsidRPr="009E5CE9" w:rsidRDefault="00204C34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9E5CE9">
                          <w:rPr>
                            <w:color w:val="000000"/>
                            <w:sz w:val="20"/>
                          </w:rPr>
                          <w:t>Сумма начальной максимальной цены контракта</w:t>
                        </w:r>
                      </w:p>
                    </w:tc>
                    <w:tc>
                      <w:tcPr>
                        <w:tcW w:w="1901" w:type="dxa"/>
                        <w:shd w:val="pct5" w:color="000000" w:fill="FFFFFF"/>
                        <w:vAlign w:val="center"/>
                      </w:tcPr>
                      <w:p w:rsidR="00204C34" w:rsidRPr="00E42403" w:rsidRDefault="00E42403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jc w:val="center"/>
                          <w:textAlignment w:val="auto"/>
                          <w:rPr>
                            <w:sz w:val="20"/>
                            <w:highlight w:val="yellow"/>
                          </w:rPr>
                        </w:pPr>
                        <w:r w:rsidRPr="00E42403">
                          <w:rPr>
                            <w:sz w:val="20"/>
                          </w:rPr>
                          <w:t>8 492,7</w:t>
                        </w:r>
                      </w:p>
                    </w:tc>
                  </w:tr>
                  <w:tr w:rsidR="00204C34" w:rsidRPr="009E5CE9" w:rsidTr="00204C34">
                    <w:trPr>
                      <w:trHeight w:val="660"/>
                      <w:jc w:val="center"/>
                    </w:trPr>
                    <w:tc>
                      <w:tcPr>
                        <w:tcW w:w="3001" w:type="dxa"/>
                        <w:tcBorders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204C34" w:rsidRPr="009E5CE9" w:rsidRDefault="00204C34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9E5CE9">
                          <w:rPr>
                            <w:color w:val="000000"/>
                            <w:sz w:val="20"/>
                          </w:rPr>
                          <w:t>Сумма контракта с победителем</w:t>
                        </w:r>
                      </w:p>
                    </w:tc>
                    <w:tc>
                      <w:tcPr>
                        <w:tcW w:w="1901" w:type="dxa"/>
                        <w:tcBorders>
                          <w:bottom w:val="single" w:sz="18" w:space="0" w:color="FFFFFF"/>
                        </w:tcBorders>
                        <w:shd w:val="pct20" w:color="000000" w:fill="FFFFFF"/>
                        <w:vAlign w:val="center"/>
                      </w:tcPr>
                      <w:p w:rsidR="00204C34" w:rsidRPr="00530DC5" w:rsidRDefault="00E42403" w:rsidP="0070206C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0DC5">
                          <w:rPr>
                            <w:sz w:val="20"/>
                            <w:szCs w:val="20"/>
                          </w:rPr>
                          <w:t>8 189,0</w:t>
                        </w:r>
                      </w:p>
                    </w:tc>
                  </w:tr>
                  <w:tr w:rsidR="00204C34" w:rsidRPr="008A5D37" w:rsidTr="00204C34">
                    <w:trPr>
                      <w:trHeight w:val="668"/>
                      <w:jc w:val="center"/>
                    </w:trPr>
                    <w:tc>
                      <w:tcPr>
                        <w:tcW w:w="3001" w:type="dxa"/>
                        <w:tcBorders>
                          <w:top w:val="single" w:sz="18" w:space="0" w:color="FFFFFF"/>
                          <w:bottom w:val="nil"/>
                        </w:tcBorders>
                        <w:shd w:val="pct5" w:color="000000" w:fill="FFFFFF"/>
                        <w:vAlign w:val="center"/>
                      </w:tcPr>
                      <w:p w:rsidR="00204C34" w:rsidRPr="009E5CE9" w:rsidRDefault="00204C34" w:rsidP="0070206C">
                        <w:pPr>
                          <w:overflowPunct/>
                          <w:autoSpaceDE/>
                          <w:autoSpaceDN/>
                          <w:adjustRightInd/>
                          <w:suppressOverlap/>
                          <w:textAlignment w:val="auto"/>
                          <w:rPr>
                            <w:color w:val="000000"/>
                            <w:sz w:val="20"/>
                          </w:rPr>
                        </w:pPr>
                        <w:r w:rsidRPr="009E5CE9">
                          <w:rPr>
                            <w:color w:val="000000"/>
                            <w:sz w:val="20"/>
                          </w:rPr>
                          <w:t>Сумма экономии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18" w:space="0" w:color="FFFFFF"/>
                          <w:bottom w:val="nil"/>
                        </w:tcBorders>
                        <w:shd w:val="pct5" w:color="000000" w:fill="FFFFFF"/>
                        <w:vAlign w:val="center"/>
                      </w:tcPr>
                      <w:p w:rsidR="00204C34" w:rsidRPr="00530DC5" w:rsidRDefault="00E42403" w:rsidP="0070206C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0DC5">
                          <w:rPr>
                            <w:sz w:val="20"/>
                            <w:szCs w:val="20"/>
                          </w:rPr>
                          <w:t>303,7</w:t>
                        </w:r>
                      </w:p>
                    </w:tc>
                  </w:tr>
                </w:tbl>
                <w:p w:rsidR="00993415" w:rsidRDefault="00993415" w:rsidP="00702812"/>
              </w:txbxContent>
            </v:textbox>
          </v:rect>
        </w:pict>
      </w:r>
      <w:r w:rsidR="00232CC8">
        <w:rPr>
          <w:color w:val="FF0000"/>
          <w:sz w:val="32"/>
          <w:szCs w:val="32"/>
        </w:rPr>
        <w:t>Выполнение муниципального заказа</w:t>
      </w:r>
      <w:r w:rsidR="00EC0797">
        <w:rPr>
          <w:color w:val="FF0000"/>
          <w:sz w:val="32"/>
          <w:szCs w:val="32"/>
        </w:rPr>
        <w:t>*</w:t>
      </w:r>
    </w:p>
    <w:p w:rsidR="00232CC8" w:rsidRDefault="00171380" w:rsidP="00232CC8">
      <w:r>
        <w:rPr>
          <w:noProof/>
        </w:rPr>
        <w:pict>
          <v:roundrect id="_x0000_s1070" style="position:absolute;margin-left:0;margin-top:6.3pt;width:4in;height:120.5pt;z-index:251658240" arcsize="10923f" filled="f" strokecolor="#9c0" strokeweight="2.25pt">
            <v:textbox style="mso-next-textbox:#_x0000_s1070">
              <w:txbxContent>
                <w:p w:rsidR="00993415" w:rsidRPr="00E42403" w:rsidRDefault="00993415" w:rsidP="00ED1891">
                  <w:pPr>
                    <w:numPr>
                      <w:ilvl w:val="0"/>
                      <w:numId w:val="2"/>
                    </w:numPr>
                    <w:tabs>
                      <w:tab w:val="left" w:pos="540"/>
                      <w:tab w:val="num" w:pos="786"/>
                    </w:tabs>
                    <w:ind w:left="0" w:firstLine="181"/>
                    <w:jc w:val="both"/>
                    <w:rPr>
                      <w:sz w:val="26"/>
                      <w:szCs w:val="26"/>
                    </w:rPr>
                  </w:pPr>
                  <w:r w:rsidRPr="00E42403">
                    <w:rPr>
                      <w:sz w:val="26"/>
                      <w:szCs w:val="26"/>
                    </w:rPr>
                    <w:t>За январь 201</w:t>
                  </w:r>
                  <w:r w:rsidR="00204C34" w:rsidRPr="00E42403">
                    <w:rPr>
                      <w:sz w:val="26"/>
                      <w:szCs w:val="26"/>
                    </w:rPr>
                    <w:t>8</w:t>
                  </w:r>
                  <w:r w:rsidRPr="00E42403">
                    <w:rPr>
                      <w:sz w:val="26"/>
                      <w:szCs w:val="26"/>
                    </w:rPr>
                    <w:t xml:space="preserve"> года было заключено муниципальных контрактов на поставку товаров (оказание услуг, выполнение работ) на общую сумму </w:t>
                  </w:r>
                  <w:r w:rsidR="00E42403" w:rsidRPr="00E42403">
                    <w:rPr>
                      <w:sz w:val="26"/>
                      <w:szCs w:val="26"/>
                    </w:rPr>
                    <w:t>8 492,7</w:t>
                  </w:r>
                  <w:r w:rsidRPr="00E42403">
                    <w:rPr>
                      <w:sz w:val="26"/>
                      <w:szCs w:val="26"/>
                    </w:rPr>
                    <w:t xml:space="preserve"> млн. руб.</w:t>
                  </w:r>
                </w:p>
                <w:p w:rsidR="00993415" w:rsidRPr="00E42403" w:rsidRDefault="00993415" w:rsidP="00845A36">
                  <w:pPr>
                    <w:numPr>
                      <w:ilvl w:val="0"/>
                      <w:numId w:val="2"/>
                    </w:numPr>
                    <w:tabs>
                      <w:tab w:val="left" w:pos="540"/>
                      <w:tab w:val="num" w:pos="786"/>
                    </w:tabs>
                    <w:ind w:left="0" w:firstLine="181"/>
                    <w:jc w:val="both"/>
                    <w:rPr>
                      <w:szCs w:val="26"/>
                    </w:rPr>
                  </w:pPr>
                  <w:r w:rsidRPr="00E42403">
                    <w:rPr>
                      <w:sz w:val="26"/>
                      <w:szCs w:val="26"/>
                    </w:rPr>
                    <w:t>Экономия бюджетных средств за январь 201</w:t>
                  </w:r>
                  <w:r w:rsidR="00204C34" w:rsidRPr="00E42403">
                    <w:rPr>
                      <w:sz w:val="26"/>
                      <w:szCs w:val="26"/>
                    </w:rPr>
                    <w:t>8</w:t>
                  </w:r>
                  <w:r w:rsidRPr="00E42403">
                    <w:rPr>
                      <w:sz w:val="26"/>
                      <w:szCs w:val="26"/>
                    </w:rPr>
                    <w:t xml:space="preserve"> года составила </w:t>
                  </w:r>
                  <w:r w:rsidR="00E42403" w:rsidRPr="00E42403">
                    <w:rPr>
                      <w:sz w:val="26"/>
                      <w:szCs w:val="26"/>
                    </w:rPr>
                    <w:t>303,7 тыс</w:t>
                  </w:r>
                  <w:r w:rsidRPr="00E42403">
                    <w:rPr>
                      <w:sz w:val="26"/>
                      <w:szCs w:val="26"/>
                    </w:rPr>
                    <w:t>. руб.</w:t>
                  </w:r>
                </w:p>
              </w:txbxContent>
            </v:textbox>
          </v:roundrect>
        </w:pict>
      </w:r>
    </w:p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232CC8"/>
    <w:p w:rsidR="00232CC8" w:rsidRDefault="00232CC8" w:rsidP="004A1548">
      <w:pPr>
        <w:pStyle w:val="3"/>
        <w:rPr>
          <w:color w:val="FF0000"/>
          <w:sz w:val="32"/>
          <w:szCs w:val="32"/>
        </w:rPr>
      </w:pPr>
    </w:p>
    <w:p w:rsidR="00845A36" w:rsidRDefault="00845A36" w:rsidP="00EC0797">
      <w:pPr>
        <w:pStyle w:val="3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</w:p>
    <w:p w:rsidR="00ED1891" w:rsidRDefault="00ED1891" w:rsidP="00EC0797">
      <w:pPr>
        <w:pStyle w:val="3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</w:p>
    <w:p w:rsidR="00232CC8" w:rsidRDefault="00EC0797" w:rsidP="00EC0797">
      <w:pPr>
        <w:pStyle w:val="3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 w:rsidRPr="00EC0797">
        <w:rPr>
          <w:rFonts w:ascii="Times New Roman" w:hAnsi="Times New Roman" w:cs="Times New Roman"/>
          <w:b w:val="0"/>
          <w:sz w:val="18"/>
          <w:szCs w:val="18"/>
        </w:rPr>
        <w:t>*- информация по процедурам размещения заказа, организованным и проведенным ДЭРП</w:t>
      </w:r>
      <w:r w:rsidR="00442784">
        <w:rPr>
          <w:rFonts w:ascii="Times New Roman" w:hAnsi="Times New Roman" w:cs="Times New Roman"/>
          <w:b w:val="0"/>
          <w:sz w:val="18"/>
          <w:szCs w:val="18"/>
        </w:rPr>
        <w:t>иЗ</w:t>
      </w:r>
    </w:p>
    <w:p w:rsidR="00EC0797" w:rsidRDefault="00EC0797" w:rsidP="00EC0797"/>
    <w:p w:rsidR="005A7767" w:rsidRDefault="005A7767" w:rsidP="00A17DA1">
      <w:pPr>
        <w:tabs>
          <w:tab w:val="left" w:pos="5175"/>
        </w:tabs>
      </w:pPr>
    </w:p>
    <w:p w:rsidR="003E6512" w:rsidRDefault="003E6512" w:rsidP="00A17DA1">
      <w:pPr>
        <w:tabs>
          <w:tab w:val="left" w:pos="5175"/>
        </w:tabs>
      </w:pPr>
    </w:p>
    <w:p w:rsidR="00896490" w:rsidRDefault="00896490" w:rsidP="00EC0797">
      <w:pPr>
        <w:pStyle w:val="3"/>
        <w:spacing w:before="0"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Исполнение бюджета</w:t>
      </w:r>
    </w:p>
    <w:p w:rsidR="00896490" w:rsidRPr="004B447B" w:rsidRDefault="00E84A55" w:rsidP="00A019A4"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5051318</wp:posOffset>
            </wp:positionH>
            <wp:positionV relativeFrom="paragraph">
              <wp:posOffset>-345</wp:posOffset>
            </wp:positionV>
            <wp:extent cx="4524498" cy="2660072"/>
            <wp:effectExtent l="0" t="0" r="0" b="0"/>
            <wp:wrapNone/>
            <wp:docPr id="51" name="Объект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96490" w:rsidRPr="00EC0797" w:rsidRDefault="00171380" w:rsidP="00A019A4">
      <w:r>
        <w:rPr>
          <w:noProof/>
        </w:rPr>
        <w:pict>
          <v:roundrect id="_x0000_s1076" style="position:absolute;margin-left:-23.1pt;margin-top:4.65pt;width:449.5pt;height:191.7pt;z-index:251661312;mso-width-relative:margin;mso-height-relative:margin" arcsize="10923f" o:regroupid="3" strokecolor="#9bbb59" strokeweight="2.5pt">
            <v:shadow color="#868686"/>
            <v:textbox style="mso-next-textbox:#_x0000_s1076">
              <w:txbxContent>
                <w:p w:rsidR="00993415" w:rsidRPr="00993415" w:rsidRDefault="00993415" w:rsidP="00082AC9">
                  <w:pPr>
                    <w:numPr>
                      <w:ilvl w:val="0"/>
                      <w:numId w:val="3"/>
                    </w:numPr>
                    <w:spacing w:after="240"/>
                    <w:ind w:left="142" w:hanging="284"/>
                    <w:jc w:val="both"/>
                    <w:rPr>
                      <w:sz w:val="26"/>
                      <w:szCs w:val="26"/>
                    </w:rPr>
                  </w:pPr>
                  <w:r w:rsidRPr="00993415">
                    <w:rPr>
                      <w:b/>
                      <w:sz w:val="26"/>
                      <w:szCs w:val="26"/>
                    </w:rPr>
                    <w:t>На 1.0</w:t>
                  </w:r>
                  <w:r>
                    <w:rPr>
                      <w:b/>
                      <w:sz w:val="26"/>
                      <w:szCs w:val="26"/>
                    </w:rPr>
                    <w:t>2</w:t>
                  </w:r>
                  <w:r w:rsidRPr="00993415">
                    <w:rPr>
                      <w:b/>
                      <w:sz w:val="26"/>
                      <w:szCs w:val="26"/>
                    </w:rPr>
                    <w:t>.2018 года</w:t>
                  </w:r>
                  <w:r w:rsidRPr="00993415">
                    <w:rPr>
                      <w:sz w:val="26"/>
                      <w:szCs w:val="26"/>
                    </w:rPr>
                    <w:t xml:space="preserve"> собственные доходы бюджета города исполнены на 6,6%, расходы – на 5,2%.</w:t>
                  </w:r>
                </w:p>
                <w:p w:rsidR="00993415" w:rsidRPr="000658E1" w:rsidRDefault="00993415" w:rsidP="00082AC9">
                  <w:pPr>
                    <w:numPr>
                      <w:ilvl w:val="0"/>
                      <w:numId w:val="3"/>
                    </w:numPr>
                    <w:spacing w:after="240"/>
                    <w:ind w:left="142" w:hanging="284"/>
                    <w:jc w:val="both"/>
                    <w:rPr>
                      <w:b/>
                      <w:sz w:val="26"/>
                      <w:szCs w:val="26"/>
                    </w:rPr>
                  </w:pPr>
                  <w:r w:rsidRPr="000658E1">
                    <w:rPr>
                      <w:b/>
                      <w:sz w:val="26"/>
                      <w:szCs w:val="26"/>
                    </w:rPr>
                    <w:t>На 1.02.2018 года</w:t>
                  </w:r>
                  <w:r w:rsidRPr="000658E1">
                    <w:rPr>
                      <w:sz w:val="26"/>
                      <w:szCs w:val="26"/>
                    </w:rPr>
                    <w:t xml:space="preserve"> налоговые доходы составили </w:t>
                  </w:r>
                  <w:r w:rsidR="000658E1" w:rsidRPr="000658E1">
                    <w:rPr>
                      <w:sz w:val="26"/>
                      <w:szCs w:val="26"/>
                    </w:rPr>
                    <w:t>672</w:t>
                  </w:r>
                  <w:r w:rsidRPr="000658E1">
                    <w:rPr>
                      <w:sz w:val="26"/>
                      <w:szCs w:val="26"/>
                    </w:rPr>
                    <w:t xml:space="preserve">,6 млн. руб., неналоговые – </w:t>
                  </w:r>
                  <w:r w:rsidR="000658E1" w:rsidRPr="000658E1">
                    <w:rPr>
                      <w:sz w:val="26"/>
                      <w:szCs w:val="26"/>
                    </w:rPr>
                    <w:t>212,9</w:t>
                  </w:r>
                  <w:r w:rsidRPr="000658E1">
                    <w:rPr>
                      <w:sz w:val="26"/>
                      <w:szCs w:val="26"/>
                    </w:rPr>
                    <w:t xml:space="preserve"> млн. руб.</w:t>
                  </w:r>
                </w:p>
                <w:p w:rsidR="00993415" w:rsidRPr="000658E1" w:rsidRDefault="00993415" w:rsidP="00082AC9">
                  <w:pPr>
                    <w:numPr>
                      <w:ilvl w:val="0"/>
                      <w:numId w:val="3"/>
                    </w:numPr>
                    <w:spacing w:after="240"/>
                    <w:ind w:left="142" w:hanging="284"/>
                    <w:jc w:val="both"/>
                    <w:rPr>
                      <w:sz w:val="26"/>
                      <w:szCs w:val="26"/>
                    </w:rPr>
                  </w:pPr>
                  <w:r w:rsidRPr="000658E1">
                    <w:rPr>
                      <w:b/>
                      <w:sz w:val="26"/>
                      <w:szCs w:val="26"/>
                    </w:rPr>
                    <w:t>На 1.0</w:t>
                  </w:r>
                  <w:r w:rsidR="00534833" w:rsidRPr="000658E1">
                    <w:rPr>
                      <w:b/>
                      <w:sz w:val="26"/>
                      <w:szCs w:val="26"/>
                    </w:rPr>
                    <w:t>2</w:t>
                  </w:r>
                  <w:r w:rsidRPr="000658E1">
                    <w:rPr>
                      <w:b/>
                      <w:sz w:val="26"/>
                      <w:szCs w:val="26"/>
                    </w:rPr>
                    <w:t>.2018 года</w:t>
                  </w:r>
                  <w:r w:rsidRPr="000658E1">
                    <w:rPr>
                      <w:sz w:val="26"/>
                      <w:szCs w:val="26"/>
                    </w:rPr>
                    <w:t xml:space="preserve"> наибольшую долю в структуре расходов бюджета занимают расходы в сфере: образования (</w:t>
                  </w:r>
                  <w:r w:rsidR="000658E1" w:rsidRPr="000658E1">
                    <w:rPr>
                      <w:sz w:val="26"/>
                      <w:szCs w:val="26"/>
                    </w:rPr>
                    <w:t>67,9</w:t>
                  </w:r>
                  <w:r w:rsidRPr="000658E1">
                    <w:rPr>
                      <w:sz w:val="26"/>
                      <w:szCs w:val="26"/>
                    </w:rPr>
                    <w:t xml:space="preserve">%), </w:t>
                  </w:r>
                  <w:r w:rsidR="000658E1" w:rsidRPr="000658E1">
                    <w:rPr>
                      <w:sz w:val="26"/>
                      <w:szCs w:val="26"/>
                    </w:rPr>
                    <w:t xml:space="preserve">общегосударственных вопросов (10,2%), </w:t>
                  </w:r>
                  <w:r w:rsidRPr="000658E1">
                    <w:rPr>
                      <w:sz w:val="26"/>
                      <w:szCs w:val="26"/>
                    </w:rPr>
                    <w:t>национальной экономики (</w:t>
                  </w:r>
                  <w:r w:rsidR="000658E1" w:rsidRPr="000658E1">
                    <w:rPr>
                      <w:sz w:val="26"/>
                      <w:szCs w:val="26"/>
                    </w:rPr>
                    <w:t>9,3</w:t>
                  </w:r>
                  <w:r w:rsidRPr="000658E1">
                    <w:rPr>
                      <w:sz w:val="26"/>
                      <w:szCs w:val="26"/>
                    </w:rPr>
                    <w:t>%), жилищно-коммунального хозяйства (</w:t>
                  </w:r>
                  <w:r w:rsidR="000658E1" w:rsidRPr="000658E1">
                    <w:rPr>
                      <w:sz w:val="26"/>
                      <w:szCs w:val="26"/>
                    </w:rPr>
                    <w:t>4,3</w:t>
                  </w:r>
                  <w:r w:rsidRPr="000658E1">
                    <w:rPr>
                      <w:sz w:val="26"/>
                      <w:szCs w:val="26"/>
                    </w:rPr>
                    <w:t xml:space="preserve">%), </w:t>
                  </w:r>
                  <w:r w:rsidR="000658E1" w:rsidRPr="000658E1">
                    <w:rPr>
                      <w:sz w:val="26"/>
                      <w:szCs w:val="26"/>
                    </w:rPr>
                    <w:t>социальной политики</w:t>
                  </w:r>
                  <w:r w:rsidRPr="000658E1">
                    <w:rPr>
                      <w:sz w:val="26"/>
                      <w:szCs w:val="26"/>
                    </w:rPr>
                    <w:t xml:space="preserve">  (3,</w:t>
                  </w:r>
                  <w:r w:rsidR="000658E1" w:rsidRPr="000658E1">
                    <w:rPr>
                      <w:sz w:val="26"/>
                      <w:szCs w:val="26"/>
                    </w:rPr>
                    <w:t>5</w:t>
                  </w:r>
                  <w:r w:rsidRPr="000658E1">
                    <w:rPr>
                      <w:sz w:val="26"/>
                      <w:szCs w:val="26"/>
                    </w:rPr>
                    <w:t>%).</w:t>
                  </w:r>
                </w:p>
              </w:txbxContent>
            </v:textbox>
          </v:roundrect>
        </w:pict>
      </w:r>
    </w:p>
    <w:sectPr w:rsidR="00896490" w:rsidRPr="00EC0797" w:rsidSect="00DA46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15" w:rsidRDefault="00993415" w:rsidP="007041EB">
      <w:r>
        <w:separator/>
      </w:r>
    </w:p>
  </w:endnote>
  <w:endnote w:type="continuationSeparator" w:id="0">
    <w:p w:rsidR="00993415" w:rsidRDefault="00993415" w:rsidP="0070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15" w:rsidRDefault="00993415" w:rsidP="007041EB">
      <w:r>
        <w:separator/>
      </w:r>
    </w:p>
  </w:footnote>
  <w:footnote w:type="continuationSeparator" w:id="0">
    <w:p w:rsidR="00993415" w:rsidRDefault="00993415" w:rsidP="0070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15" w:rsidRDefault="00171380">
    <w:pPr>
      <w:pStyle w:val="a8"/>
      <w:jc w:val="center"/>
    </w:pPr>
    <w:fldSimple w:instr=" PAGE   \* MERGEFORMAT ">
      <w:r w:rsidR="0091050D">
        <w:rPr>
          <w:noProof/>
        </w:rPr>
        <w:t>5</w:t>
      </w:r>
    </w:fldSimple>
  </w:p>
  <w:p w:rsidR="00993415" w:rsidRDefault="009934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3A1"/>
    <w:multiLevelType w:val="hybridMultilevel"/>
    <w:tmpl w:val="5B20318E"/>
    <w:lvl w:ilvl="0" w:tplc="6AD6F1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340D"/>
    <w:multiLevelType w:val="hybridMultilevel"/>
    <w:tmpl w:val="F822DB7C"/>
    <w:lvl w:ilvl="0" w:tplc="D806D7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7"/>
        <w:szCs w:val="27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60A6F"/>
    <w:multiLevelType w:val="hybridMultilevel"/>
    <w:tmpl w:val="DD3288B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42D3"/>
    <w:multiLevelType w:val="hybridMultilevel"/>
    <w:tmpl w:val="D9729EDE"/>
    <w:lvl w:ilvl="0" w:tplc="D806D726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1DD17F5F"/>
    <w:multiLevelType w:val="hybridMultilevel"/>
    <w:tmpl w:val="9E0EE8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216B5"/>
    <w:multiLevelType w:val="hybridMultilevel"/>
    <w:tmpl w:val="C8087F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603"/>
    <w:multiLevelType w:val="hybridMultilevel"/>
    <w:tmpl w:val="EB3E2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7D65"/>
    <w:multiLevelType w:val="hybridMultilevel"/>
    <w:tmpl w:val="4B709E6C"/>
    <w:lvl w:ilvl="0" w:tplc="5A4A4D84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B80095"/>
    <w:multiLevelType w:val="hybridMultilevel"/>
    <w:tmpl w:val="340C084A"/>
    <w:lvl w:ilvl="0" w:tplc="4A6ED0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E49B3"/>
    <w:multiLevelType w:val="hybridMultilevel"/>
    <w:tmpl w:val="55564AE4"/>
    <w:lvl w:ilvl="0" w:tplc="5ED4824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44DC6"/>
    <w:multiLevelType w:val="hybridMultilevel"/>
    <w:tmpl w:val="C9D6BA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C342D"/>
    <w:multiLevelType w:val="hybridMultilevel"/>
    <w:tmpl w:val="1954F3AA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33EF2"/>
    <w:multiLevelType w:val="hybridMultilevel"/>
    <w:tmpl w:val="C33ED79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66C1B"/>
    <w:multiLevelType w:val="hybridMultilevel"/>
    <w:tmpl w:val="A6E87E22"/>
    <w:lvl w:ilvl="0" w:tplc="275E9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71762"/>
    <w:multiLevelType w:val="hybridMultilevel"/>
    <w:tmpl w:val="5E56A0F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BB33CC"/>
    <w:multiLevelType w:val="hybridMultilevel"/>
    <w:tmpl w:val="465C8E8C"/>
    <w:lvl w:ilvl="0" w:tplc="D51C34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91477"/>
    <w:multiLevelType w:val="hybridMultilevel"/>
    <w:tmpl w:val="7EB8FEF4"/>
    <w:lvl w:ilvl="0" w:tplc="B6B2654C">
      <w:start w:val="46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D7DA7"/>
    <w:multiLevelType w:val="hybridMultilevel"/>
    <w:tmpl w:val="97BA3C9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D101D30"/>
    <w:multiLevelType w:val="hybridMultilevel"/>
    <w:tmpl w:val="C7BACC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3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D0E"/>
    <w:rsid w:val="0000051B"/>
    <w:rsid w:val="0000051F"/>
    <w:rsid w:val="000007F7"/>
    <w:rsid w:val="00000FC8"/>
    <w:rsid w:val="00001250"/>
    <w:rsid w:val="00002039"/>
    <w:rsid w:val="000033D8"/>
    <w:rsid w:val="00003AD8"/>
    <w:rsid w:val="0000438B"/>
    <w:rsid w:val="00004436"/>
    <w:rsid w:val="00005493"/>
    <w:rsid w:val="000059B7"/>
    <w:rsid w:val="00005C11"/>
    <w:rsid w:val="00005F6C"/>
    <w:rsid w:val="00005FE2"/>
    <w:rsid w:val="00006F87"/>
    <w:rsid w:val="00007686"/>
    <w:rsid w:val="00011416"/>
    <w:rsid w:val="00011446"/>
    <w:rsid w:val="00011CE8"/>
    <w:rsid w:val="00011F15"/>
    <w:rsid w:val="00012369"/>
    <w:rsid w:val="00012E45"/>
    <w:rsid w:val="000134FD"/>
    <w:rsid w:val="00014B60"/>
    <w:rsid w:val="000157E2"/>
    <w:rsid w:val="000168D8"/>
    <w:rsid w:val="00020266"/>
    <w:rsid w:val="00021230"/>
    <w:rsid w:val="000222F6"/>
    <w:rsid w:val="00022AAE"/>
    <w:rsid w:val="000231D3"/>
    <w:rsid w:val="000238A3"/>
    <w:rsid w:val="00023ED8"/>
    <w:rsid w:val="00026F88"/>
    <w:rsid w:val="000272C5"/>
    <w:rsid w:val="00027CB4"/>
    <w:rsid w:val="00030E7B"/>
    <w:rsid w:val="0003101D"/>
    <w:rsid w:val="000315FD"/>
    <w:rsid w:val="00032602"/>
    <w:rsid w:val="000333EC"/>
    <w:rsid w:val="00033A87"/>
    <w:rsid w:val="000350B3"/>
    <w:rsid w:val="000378D7"/>
    <w:rsid w:val="00037F94"/>
    <w:rsid w:val="00040451"/>
    <w:rsid w:val="000404D8"/>
    <w:rsid w:val="00041557"/>
    <w:rsid w:val="000425B4"/>
    <w:rsid w:val="000441F7"/>
    <w:rsid w:val="000447E2"/>
    <w:rsid w:val="00045D59"/>
    <w:rsid w:val="0004757C"/>
    <w:rsid w:val="00047EE1"/>
    <w:rsid w:val="0005062B"/>
    <w:rsid w:val="00051B5E"/>
    <w:rsid w:val="00052710"/>
    <w:rsid w:val="00052AE8"/>
    <w:rsid w:val="00052C2B"/>
    <w:rsid w:val="00052CEC"/>
    <w:rsid w:val="00053144"/>
    <w:rsid w:val="000534A7"/>
    <w:rsid w:val="00054247"/>
    <w:rsid w:val="0005425C"/>
    <w:rsid w:val="00054504"/>
    <w:rsid w:val="000558F7"/>
    <w:rsid w:val="000566E2"/>
    <w:rsid w:val="00060175"/>
    <w:rsid w:val="00060D74"/>
    <w:rsid w:val="000613F4"/>
    <w:rsid w:val="000658E1"/>
    <w:rsid w:val="00065B59"/>
    <w:rsid w:val="0006673E"/>
    <w:rsid w:val="000677DF"/>
    <w:rsid w:val="00070925"/>
    <w:rsid w:val="00071EFB"/>
    <w:rsid w:val="00074C8E"/>
    <w:rsid w:val="00074CBB"/>
    <w:rsid w:val="000756EB"/>
    <w:rsid w:val="000761E0"/>
    <w:rsid w:val="00076D4C"/>
    <w:rsid w:val="00080B04"/>
    <w:rsid w:val="00081150"/>
    <w:rsid w:val="00081155"/>
    <w:rsid w:val="00081FB2"/>
    <w:rsid w:val="00082AC9"/>
    <w:rsid w:val="00082CF3"/>
    <w:rsid w:val="00083DFE"/>
    <w:rsid w:val="000846E1"/>
    <w:rsid w:val="00084E3F"/>
    <w:rsid w:val="000853B3"/>
    <w:rsid w:val="00085628"/>
    <w:rsid w:val="00085A2C"/>
    <w:rsid w:val="0008695C"/>
    <w:rsid w:val="00086F3B"/>
    <w:rsid w:val="00090843"/>
    <w:rsid w:val="00090D60"/>
    <w:rsid w:val="00090E0E"/>
    <w:rsid w:val="0009151F"/>
    <w:rsid w:val="000919ED"/>
    <w:rsid w:val="000929FD"/>
    <w:rsid w:val="00092F13"/>
    <w:rsid w:val="000936F3"/>
    <w:rsid w:val="00093962"/>
    <w:rsid w:val="00093CA5"/>
    <w:rsid w:val="00093FA0"/>
    <w:rsid w:val="0009552B"/>
    <w:rsid w:val="000956E7"/>
    <w:rsid w:val="00095B68"/>
    <w:rsid w:val="0009785D"/>
    <w:rsid w:val="000A00C8"/>
    <w:rsid w:val="000A1387"/>
    <w:rsid w:val="000A1766"/>
    <w:rsid w:val="000A3796"/>
    <w:rsid w:val="000A3A19"/>
    <w:rsid w:val="000A4076"/>
    <w:rsid w:val="000A50F3"/>
    <w:rsid w:val="000A575D"/>
    <w:rsid w:val="000A6C1A"/>
    <w:rsid w:val="000A7422"/>
    <w:rsid w:val="000A7C8F"/>
    <w:rsid w:val="000B159E"/>
    <w:rsid w:val="000B1E4E"/>
    <w:rsid w:val="000B2602"/>
    <w:rsid w:val="000B45C3"/>
    <w:rsid w:val="000B4DC7"/>
    <w:rsid w:val="000B5CD6"/>
    <w:rsid w:val="000B5E03"/>
    <w:rsid w:val="000B6438"/>
    <w:rsid w:val="000C11EB"/>
    <w:rsid w:val="000C2EF2"/>
    <w:rsid w:val="000C442E"/>
    <w:rsid w:val="000C4846"/>
    <w:rsid w:val="000C4C38"/>
    <w:rsid w:val="000C4C72"/>
    <w:rsid w:val="000C5F99"/>
    <w:rsid w:val="000D086B"/>
    <w:rsid w:val="000D10F7"/>
    <w:rsid w:val="000D573C"/>
    <w:rsid w:val="000D5A14"/>
    <w:rsid w:val="000D6658"/>
    <w:rsid w:val="000D6A71"/>
    <w:rsid w:val="000D765D"/>
    <w:rsid w:val="000E0431"/>
    <w:rsid w:val="000E0575"/>
    <w:rsid w:val="000E06D3"/>
    <w:rsid w:val="000E2577"/>
    <w:rsid w:val="000E336D"/>
    <w:rsid w:val="000E46E4"/>
    <w:rsid w:val="000E4D17"/>
    <w:rsid w:val="000E56F1"/>
    <w:rsid w:val="000E7339"/>
    <w:rsid w:val="000F04EF"/>
    <w:rsid w:val="000F23E2"/>
    <w:rsid w:val="000F24EC"/>
    <w:rsid w:val="000F411F"/>
    <w:rsid w:val="000F41B4"/>
    <w:rsid w:val="000F42E8"/>
    <w:rsid w:val="000F4E9B"/>
    <w:rsid w:val="000F586F"/>
    <w:rsid w:val="000F679E"/>
    <w:rsid w:val="000F6BF1"/>
    <w:rsid w:val="00100735"/>
    <w:rsid w:val="001014C2"/>
    <w:rsid w:val="001014FB"/>
    <w:rsid w:val="00101E07"/>
    <w:rsid w:val="00102092"/>
    <w:rsid w:val="00102096"/>
    <w:rsid w:val="0010240C"/>
    <w:rsid w:val="00102B96"/>
    <w:rsid w:val="0010387F"/>
    <w:rsid w:val="001039A4"/>
    <w:rsid w:val="00103C26"/>
    <w:rsid w:val="0010457A"/>
    <w:rsid w:val="00105957"/>
    <w:rsid w:val="00105A2D"/>
    <w:rsid w:val="0010779A"/>
    <w:rsid w:val="00107F04"/>
    <w:rsid w:val="00110AF1"/>
    <w:rsid w:val="00112398"/>
    <w:rsid w:val="001134FD"/>
    <w:rsid w:val="00113ACA"/>
    <w:rsid w:val="0011423C"/>
    <w:rsid w:val="00116986"/>
    <w:rsid w:val="001171AE"/>
    <w:rsid w:val="0011766F"/>
    <w:rsid w:val="001207D5"/>
    <w:rsid w:val="0012091D"/>
    <w:rsid w:val="00120975"/>
    <w:rsid w:val="00120C88"/>
    <w:rsid w:val="00121206"/>
    <w:rsid w:val="00122CF8"/>
    <w:rsid w:val="001230DE"/>
    <w:rsid w:val="00123220"/>
    <w:rsid w:val="00124454"/>
    <w:rsid w:val="00124943"/>
    <w:rsid w:val="00124C32"/>
    <w:rsid w:val="001253D5"/>
    <w:rsid w:val="00125C08"/>
    <w:rsid w:val="001267FC"/>
    <w:rsid w:val="00126A53"/>
    <w:rsid w:val="0013111A"/>
    <w:rsid w:val="00132571"/>
    <w:rsid w:val="00132DB7"/>
    <w:rsid w:val="00133704"/>
    <w:rsid w:val="00135354"/>
    <w:rsid w:val="00136FBC"/>
    <w:rsid w:val="0013755E"/>
    <w:rsid w:val="00140102"/>
    <w:rsid w:val="00140BE1"/>
    <w:rsid w:val="00140F4A"/>
    <w:rsid w:val="001414B6"/>
    <w:rsid w:val="001423E0"/>
    <w:rsid w:val="00142E19"/>
    <w:rsid w:val="00143BFD"/>
    <w:rsid w:val="001447EE"/>
    <w:rsid w:val="00145625"/>
    <w:rsid w:val="001456C0"/>
    <w:rsid w:val="001457E3"/>
    <w:rsid w:val="00146C3E"/>
    <w:rsid w:val="001470B0"/>
    <w:rsid w:val="00147779"/>
    <w:rsid w:val="00150483"/>
    <w:rsid w:val="00152B11"/>
    <w:rsid w:val="00152E4B"/>
    <w:rsid w:val="00154946"/>
    <w:rsid w:val="0015589D"/>
    <w:rsid w:val="00156E62"/>
    <w:rsid w:val="00157454"/>
    <w:rsid w:val="0015756A"/>
    <w:rsid w:val="00161B2E"/>
    <w:rsid w:val="00161E50"/>
    <w:rsid w:val="001621A1"/>
    <w:rsid w:val="00162E83"/>
    <w:rsid w:val="001637D7"/>
    <w:rsid w:val="00163D06"/>
    <w:rsid w:val="00164C9B"/>
    <w:rsid w:val="00165C9B"/>
    <w:rsid w:val="00171380"/>
    <w:rsid w:val="0017152E"/>
    <w:rsid w:val="00171FEA"/>
    <w:rsid w:val="00172209"/>
    <w:rsid w:val="001723BA"/>
    <w:rsid w:val="0017303A"/>
    <w:rsid w:val="00173316"/>
    <w:rsid w:val="001758EA"/>
    <w:rsid w:val="00175DAC"/>
    <w:rsid w:val="00175DB4"/>
    <w:rsid w:val="00176852"/>
    <w:rsid w:val="00176B63"/>
    <w:rsid w:val="00177995"/>
    <w:rsid w:val="00177E0C"/>
    <w:rsid w:val="00180130"/>
    <w:rsid w:val="001801A1"/>
    <w:rsid w:val="00181A9F"/>
    <w:rsid w:val="001831BE"/>
    <w:rsid w:val="00184F0D"/>
    <w:rsid w:val="001854CE"/>
    <w:rsid w:val="0018567D"/>
    <w:rsid w:val="0018584A"/>
    <w:rsid w:val="00185F95"/>
    <w:rsid w:val="001875B1"/>
    <w:rsid w:val="00187C95"/>
    <w:rsid w:val="00190569"/>
    <w:rsid w:val="001911B6"/>
    <w:rsid w:val="001912E5"/>
    <w:rsid w:val="0019197B"/>
    <w:rsid w:val="00191985"/>
    <w:rsid w:val="00191E8E"/>
    <w:rsid w:val="00192F81"/>
    <w:rsid w:val="00194492"/>
    <w:rsid w:val="00195BC9"/>
    <w:rsid w:val="001965C4"/>
    <w:rsid w:val="0019687E"/>
    <w:rsid w:val="00196BAB"/>
    <w:rsid w:val="00196CCC"/>
    <w:rsid w:val="001971F8"/>
    <w:rsid w:val="001972FD"/>
    <w:rsid w:val="00197A94"/>
    <w:rsid w:val="00197AB3"/>
    <w:rsid w:val="001A04B6"/>
    <w:rsid w:val="001A10DC"/>
    <w:rsid w:val="001A16B9"/>
    <w:rsid w:val="001A1977"/>
    <w:rsid w:val="001A23AA"/>
    <w:rsid w:val="001A247B"/>
    <w:rsid w:val="001A27A3"/>
    <w:rsid w:val="001A2ABC"/>
    <w:rsid w:val="001A2C11"/>
    <w:rsid w:val="001A490F"/>
    <w:rsid w:val="001A49C8"/>
    <w:rsid w:val="001A4CEC"/>
    <w:rsid w:val="001A4E81"/>
    <w:rsid w:val="001A5A73"/>
    <w:rsid w:val="001A63A4"/>
    <w:rsid w:val="001A7BFE"/>
    <w:rsid w:val="001B0855"/>
    <w:rsid w:val="001B0934"/>
    <w:rsid w:val="001B0A27"/>
    <w:rsid w:val="001B1CD0"/>
    <w:rsid w:val="001B1D1D"/>
    <w:rsid w:val="001B215C"/>
    <w:rsid w:val="001B24EC"/>
    <w:rsid w:val="001B2E92"/>
    <w:rsid w:val="001B3C4D"/>
    <w:rsid w:val="001B40D3"/>
    <w:rsid w:val="001B4A12"/>
    <w:rsid w:val="001B59F5"/>
    <w:rsid w:val="001B5C5E"/>
    <w:rsid w:val="001B5F36"/>
    <w:rsid w:val="001B64E6"/>
    <w:rsid w:val="001B6CAB"/>
    <w:rsid w:val="001B7836"/>
    <w:rsid w:val="001B79A0"/>
    <w:rsid w:val="001C1CF1"/>
    <w:rsid w:val="001C31E0"/>
    <w:rsid w:val="001C3E07"/>
    <w:rsid w:val="001C5555"/>
    <w:rsid w:val="001C5CE5"/>
    <w:rsid w:val="001C7385"/>
    <w:rsid w:val="001C77B9"/>
    <w:rsid w:val="001C7E21"/>
    <w:rsid w:val="001D172A"/>
    <w:rsid w:val="001D21D1"/>
    <w:rsid w:val="001D3278"/>
    <w:rsid w:val="001D3966"/>
    <w:rsid w:val="001D5262"/>
    <w:rsid w:val="001D6044"/>
    <w:rsid w:val="001D60C3"/>
    <w:rsid w:val="001D6871"/>
    <w:rsid w:val="001D7D24"/>
    <w:rsid w:val="001E02EC"/>
    <w:rsid w:val="001E0CB5"/>
    <w:rsid w:val="001E13C3"/>
    <w:rsid w:val="001E1DA9"/>
    <w:rsid w:val="001E1DEF"/>
    <w:rsid w:val="001E27DD"/>
    <w:rsid w:val="001E2AB3"/>
    <w:rsid w:val="001E30C1"/>
    <w:rsid w:val="001E328D"/>
    <w:rsid w:val="001E336F"/>
    <w:rsid w:val="001E3782"/>
    <w:rsid w:val="001E57AC"/>
    <w:rsid w:val="001E63EE"/>
    <w:rsid w:val="001E6A9E"/>
    <w:rsid w:val="001F0539"/>
    <w:rsid w:val="001F1139"/>
    <w:rsid w:val="001F2D24"/>
    <w:rsid w:val="001F44E3"/>
    <w:rsid w:val="001F45B3"/>
    <w:rsid w:val="001F7E7F"/>
    <w:rsid w:val="00200FB1"/>
    <w:rsid w:val="00201C9E"/>
    <w:rsid w:val="00201F84"/>
    <w:rsid w:val="00204C34"/>
    <w:rsid w:val="00205B44"/>
    <w:rsid w:val="002060AE"/>
    <w:rsid w:val="00207456"/>
    <w:rsid w:val="002109BC"/>
    <w:rsid w:val="00210C5A"/>
    <w:rsid w:val="00212357"/>
    <w:rsid w:val="0021253E"/>
    <w:rsid w:val="00213840"/>
    <w:rsid w:val="002141BC"/>
    <w:rsid w:val="002143EC"/>
    <w:rsid w:val="00215195"/>
    <w:rsid w:val="00215703"/>
    <w:rsid w:val="00215855"/>
    <w:rsid w:val="00215CBD"/>
    <w:rsid w:val="00215D81"/>
    <w:rsid w:val="002176B7"/>
    <w:rsid w:val="002201EA"/>
    <w:rsid w:val="00220400"/>
    <w:rsid w:val="00220A07"/>
    <w:rsid w:val="00221A87"/>
    <w:rsid w:val="00222025"/>
    <w:rsid w:val="00222490"/>
    <w:rsid w:val="00223607"/>
    <w:rsid w:val="00225E1F"/>
    <w:rsid w:val="002278EC"/>
    <w:rsid w:val="00231BEB"/>
    <w:rsid w:val="00232CC8"/>
    <w:rsid w:val="00233A76"/>
    <w:rsid w:val="00234260"/>
    <w:rsid w:val="0023533B"/>
    <w:rsid w:val="00236975"/>
    <w:rsid w:val="00236C9E"/>
    <w:rsid w:val="00241126"/>
    <w:rsid w:val="002413EF"/>
    <w:rsid w:val="00241717"/>
    <w:rsid w:val="002433A9"/>
    <w:rsid w:val="00243E38"/>
    <w:rsid w:val="00244F1B"/>
    <w:rsid w:val="00245BBB"/>
    <w:rsid w:val="00247BC0"/>
    <w:rsid w:val="002529E6"/>
    <w:rsid w:val="00254B9E"/>
    <w:rsid w:val="002550EA"/>
    <w:rsid w:val="002552A2"/>
    <w:rsid w:val="002559B9"/>
    <w:rsid w:val="00260354"/>
    <w:rsid w:val="002611A8"/>
    <w:rsid w:val="00261B7D"/>
    <w:rsid w:val="0026266A"/>
    <w:rsid w:val="00262715"/>
    <w:rsid w:val="00262BB7"/>
    <w:rsid w:val="00263802"/>
    <w:rsid w:val="002638D1"/>
    <w:rsid w:val="00263B47"/>
    <w:rsid w:val="002648D4"/>
    <w:rsid w:val="00265651"/>
    <w:rsid w:val="00267E57"/>
    <w:rsid w:val="00270181"/>
    <w:rsid w:val="00271465"/>
    <w:rsid w:val="0027151E"/>
    <w:rsid w:val="002716D8"/>
    <w:rsid w:val="00272059"/>
    <w:rsid w:val="00272B32"/>
    <w:rsid w:val="002734D3"/>
    <w:rsid w:val="00273AD2"/>
    <w:rsid w:val="00275567"/>
    <w:rsid w:val="002758DD"/>
    <w:rsid w:val="00275C29"/>
    <w:rsid w:val="00276252"/>
    <w:rsid w:val="00276A84"/>
    <w:rsid w:val="002771E2"/>
    <w:rsid w:val="00277230"/>
    <w:rsid w:val="00277416"/>
    <w:rsid w:val="00281BB3"/>
    <w:rsid w:val="002824CE"/>
    <w:rsid w:val="00282911"/>
    <w:rsid w:val="00282976"/>
    <w:rsid w:val="00282CAA"/>
    <w:rsid w:val="002863A6"/>
    <w:rsid w:val="002879B0"/>
    <w:rsid w:val="00287B94"/>
    <w:rsid w:val="00290034"/>
    <w:rsid w:val="00290EF8"/>
    <w:rsid w:val="00292189"/>
    <w:rsid w:val="002964FD"/>
    <w:rsid w:val="0029670F"/>
    <w:rsid w:val="00297BF3"/>
    <w:rsid w:val="002A04E3"/>
    <w:rsid w:val="002A14A3"/>
    <w:rsid w:val="002A17BD"/>
    <w:rsid w:val="002A30A6"/>
    <w:rsid w:val="002A4B22"/>
    <w:rsid w:val="002A4DE5"/>
    <w:rsid w:val="002A5C5A"/>
    <w:rsid w:val="002A5E66"/>
    <w:rsid w:val="002A6532"/>
    <w:rsid w:val="002B0195"/>
    <w:rsid w:val="002B1F8C"/>
    <w:rsid w:val="002B386E"/>
    <w:rsid w:val="002B6316"/>
    <w:rsid w:val="002B64F0"/>
    <w:rsid w:val="002B749A"/>
    <w:rsid w:val="002C0214"/>
    <w:rsid w:val="002C10D6"/>
    <w:rsid w:val="002C2F91"/>
    <w:rsid w:val="002C3CE2"/>
    <w:rsid w:val="002C4A3C"/>
    <w:rsid w:val="002C5893"/>
    <w:rsid w:val="002D06F6"/>
    <w:rsid w:val="002D10CF"/>
    <w:rsid w:val="002D163F"/>
    <w:rsid w:val="002D1F41"/>
    <w:rsid w:val="002D20E2"/>
    <w:rsid w:val="002D38B7"/>
    <w:rsid w:val="002D5175"/>
    <w:rsid w:val="002D6039"/>
    <w:rsid w:val="002D6311"/>
    <w:rsid w:val="002D7014"/>
    <w:rsid w:val="002D7930"/>
    <w:rsid w:val="002D7FD3"/>
    <w:rsid w:val="002E02DF"/>
    <w:rsid w:val="002E0831"/>
    <w:rsid w:val="002E0DF6"/>
    <w:rsid w:val="002E1BCD"/>
    <w:rsid w:val="002E290B"/>
    <w:rsid w:val="002E2D4E"/>
    <w:rsid w:val="002E3B40"/>
    <w:rsid w:val="002E3D99"/>
    <w:rsid w:val="002E4488"/>
    <w:rsid w:val="002E5719"/>
    <w:rsid w:val="002E5BC7"/>
    <w:rsid w:val="002E6673"/>
    <w:rsid w:val="002F34A1"/>
    <w:rsid w:val="002F3DAE"/>
    <w:rsid w:val="002F4F41"/>
    <w:rsid w:val="002F5F01"/>
    <w:rsid w:val="002F69D0"/>
    <w:rsid w:val="002F6EA8"/>
    <w:rsid w:val="00300A77"/>
    <w:rsid w:val="00300F50"/>
    <w:rsid w:val="0030102F"/>
    <w:rsid w:val="00302795"/>
    <w:rsid w:val="00303CAC"/>
    <w:rsid w:val="00304C74"/>
    <w:rsid w:val="0030506C"/>
    <w:rsid w:val="0030569F"/>
    <w:rsid w:val="00305D6A"/>
    <w:rsid w:val="0030635D"/>
    <w:rsid w:val="00306EB4"/>
    <w:rsid w:val="003074AF"/>
    <w:rsid w:val="003117A7"/>
    <w:rsid w:val="00313A57"/>
    <w:rsid w:val="00314860"/>
    <w:rsid w:val="00314CDA"/>
    <w:rsid w:val="00315092"/>
    <w:rsid w:val="00315810"/>
    <w:rsid w:val="00315BB3"/>
    <w:rsid w:val="00316604"/>
    <w:rsid w:val="00317AC4"/>
    <w:rsid w:val="00317D93"/>
    <w:rsid w:val="00320279"/>
    <w:rsid w:val="0032235C"/>
    <w:rsid w:val="00322609"/>
    <w:rsid w:val="003226AB"/>
    <w:rsid w:val="003232D9"/>
    <w:rsid w:val="003237D0"/>
    <w:rsid w:val="003267AD"/>
    <w:rsid w:val="00326A78"/>
    <w:rsid w:val="00326BA6"/>
    <w:rsid w:val="00326EAD"/>
    <w:rsid w:val="0032703F"/>
    <w:rsid w:val="00327238"/>
    <w:rsid w:val="00327B82"/>
    <w:rsid w:val="00330763"/>
    <w:rsid w:val="003313C2"/>
    <w:rsid w:val="0033148D"/>
    <w:rsid w:val="00332F70"/>
    <w:rsid w:val="003330C1"/>
    <w:rsid w:val="00333BE8"/>
    <w:rsid w:val="003340A5"/>
    <w:rsid w:val="00334697"/>
    <w:rsid w:val="0033532F"/>
    <w:rsid w:val="003364AD"/>
    <w:rsid w:val="00340379"/>
    <w:rsid w:val="00340589"/>
    <w:rsid w:val="00341D5D"/>
    <w:rsid w:val="003427EF"/>
    <w:rsid w:val="00343078"/>
    <w:rsid w:val="003438A6"/>
    <w:rsid w:val="00344115"/>
    <w:rsid w:val="00345DE9"/>
    <w:rsid w:val="003470CF"/>
    <w:rsid w:val="0034718B"/>
    <w:rsid w:val="003514CC"/>
    <w:rsid w:val="00352E16"/>
    <w:rsid w:val="00353F74"/>
    <w:rsid w:val="00354078"/>
    <w:rsid w:val="00354403"/>
    <w:rsid w:val="00354405"/>
    <w:rsid w:val="003544FF"/>
    <w:rsid w:val="003555D8"/>
    <w:rsid w:val="003556AC"/>
    <w:rsid w:val="00355B21"/>
    <w:rsid w:val="0035647C"/>
    <w:rsid w:val="003573C9"/>
    <w:rsid w:val="003600BB"/>
    <w:rsid w:val="00362212"/>
    <w:rsid w:val="00362875"/>
    <w:rsid w:val="00362B0E"/>
    <w:rsid w:val="00365F6D"/>
    <w:rsid w:val="00366A26"/>
    <w:rsid w:val="00367180"/>
    <w:rsid w:val="00367989"/>
    <w:rsid w:val="00370359"/>
    <w:rsid w:val="00370A77"/>
    <w:rsid w:val="00372E38"/>
    <w:rsid w:val="00374B61"/>
    <w:rsid w:val="00375250"/>
    <w:rsid w:val="00375893"/>
    <w:rsid w:val="003761F7"/>
    <w:rsid w:val="0037695C"/>
    <w:rsid w:val="00376C6C"/>
    <w:rsid w:val="0038024F"/>
    <w:rsid w:val="003805BE"/>
    <w:rsid w:val="00380986"/>
    <w:rsid w:val="0038132A"/>
    <w:rsid w:val="00381B92"/>
    <w:rsid w:val="00383A32"/>
    <w:rsid w:val="003857B4"/>
    <w:rsid w:val="0038580A"/>
    <w:rsid w:val="00386ABA"/>
    <w:rsid w:val="003871CC"/>
    <w:rsid w:val="003915EF"/>
    <w:rsid w:val="00391E54"/>
    <w:rsid w:val="00393209"/>
    <w:rsid w:val="003932D9"/>
    <w:rsid w:val="0039358D"/>
    <w:rsid w:val="003938FE"/>
    <w:rsid w:val="0039410C"/>
    <w:rsid w:val="00394609"/>
    <w:rsid w:val="003955DB"/>
    <w:rsid w:val="00395E3D"/>
    <w:rsid w:val="0039691C"/>
    <w:rsid w:val="003969F1"/>
    <w:rsid w:val="00397659"/>
    <w:rsid w:val="00397966"/>
    <w:rsid w:val="003A0EC1"/>
    <w:rsid w:val="003A1CD3"/>
    <w:rsid w:val="003A253B"/>
    <w:rsid w:val="003A29F4"/>
    <w:rsid w:val="003A45C0"/>
    <w:rsid w:val="003A47E1"/>
    <w:rsid w:val="003A5113"/>
    <w:rsid w:val="003A7433"/>
    <w:rsid w:val="003B0289"/>
    <w:rsid w:val="003B0E75"/>
    <w:rsid w:val="003B23BF"/>
    <w:rsid w:val="003B354C"/>
    <w:rsid w:val="003B45A3"/>
    <w:rsid w:val="003B586B"/>
    <w:rsid w:val="003B5B2B"/>
    <w:rsid w:val="003B5DB0"/>
    <w:rsid w:val="003B745E"/>
    <w:rsid w:val="003B7B59"/>
    <w:rsid w:val="003C0D9A"/>
    <w:rsid w:val="003C2474"/>
    <w:rsid w:val="003C29BF"/>
    <w:rsid w:val="003C2AD2"/>
    <w:rsid w:val="003C3F44"/>
    <w:rsid w:val="003C4035"/>
    <w:rsid w:val="003C4C2F"/>
    <w:rsid w:val="003C4CAB"/>
    <w:rsid w:val="003C5281"/>
    <w:rsid w:val="003C623C"/>
    <w:rsid w:val="003C6C26"/>
    <w:rsid w:val="003D0272"/>
    <w:rsid w:val="003D0386"/>
    <w:rsid w:val="003D066F"/>
    <w:rsid w:val="003D0A26"/>
    <w:rsid w:val="003D13EA"/>
    <w:rsid w:val="003D227E"/>
    <w:rsid w:val="003D245C"/>
    <w:rsid w:val="003D3658"/>
    <w:rsid w:val="003D42BC"/>
    <w:rsid w:val="003D4B29"/>
    <w:rsid w:val="003D4B6B"/>
    <w:rsid w:val="003D6BC9"/>
    <w:rsid w:val="003E0192"/>
    <w:rsid w:val="003E2643"/>
    <w:rsid w:val="003E3502"/>
    <w:rsid w:val="003E4A03"/>
    <w:rsid w:val="003E5599"/>
    <w:rsid w:val="003E55B6"/>
    <w:rsid w:val="003E6512"/>
    <w:rsid w:val="003E725E"/>
    <w:rsid w:val="003E7EAE"/>
    <w:rsid w:val="003F0229"/>
    <w:rsid w:val="003F06AE"/>
    <w:rsid w:val="003F27AC"/>
    <w:rsid w:val="003F3375"/>
    <w:rsid w:val="003F4282"/>
    <w:rsid w:val="003F47B7"/>
    <w:rsid w:val="003F49B1"/>
    <w:rsid w:val="003F51D8"/>
    <w:rsid w:val="003F53C2"/>
    <w:rsid w:val="003F547D"/>
    <w:rsid w:val="003F626E"/>
    <w:rsid w:val="003F62D2"/>
    <w:rsid w:val="003F696F"/>
    <w:rsid w:val="003F7085"/>
    <w:rsid w:val="003F7757"/>
    <w:rsid w:val="003F7A5D"/>
    <w:rsid w:val="00401C33"/>
    <w:rsid w:val="0040201A"/>
    <w:rsid w:val="004022A2"/>
    <w:rsid w:val="004025BD"/>
    <w:rsid w:val="00403131"/>
    <w:rsid w:val="00403846"/>
    <w:rsid w:val="00403946"/>
    <w:rsid w:val="00404329"/>
    <w:rsid w:val="004057FA"/>
    <w:rsid w:val="00405CDF"/>
    <w:rsid w:val="00406B5A"/>
    <w:rsid w:val="00406DF1"/>
    <w:rsid w:val="004077BF"/>
    <w:rsid w:val="00407B7B"/>
    <w:rsid w:val="00410EE7"/>
    <w:rsid w:val="004111CD"/>
    <w:rsid w:val="00412ED1"/>
    <w:rsid w:val="00413FC2"/>
    <w:rsid w:val="00414475"/>
    <w:rsid w:val="0041542D"/>
    <w:rsid w:val="004170D2"/>
    <w:rsid w:val="00417B0C"/>
    <w:rsid w:val="00420268"/>
    <w:rsid w:val="00420EBE"/>
    <w:rsid w:val="0042194D"/>
    <w:rsid w:val="0042319A"/>
    <w:rsid w:val="0042593E"/>
    <w:rsid w:val="00427D98"/>
    <w:rsid w:val="00427F6F"/>
    <w:rsid w:val="00430EB8"/>
    <w:rsid w:val="004312A3"/>
    <w:rsid w:val="00433FE5"/>
    <w:rsid w:val="00435097"/>
    <w:rsid w:val="00436102"/>
    <w:rsid w:val="004371E0"/>
    <w:rsid w:val="00437930"/>
    <w:rsid w:val="00442784"/>
    <w:rsid w:val="004427AA"/>
    <w:rsid w:val="00443FEE"/>
    <w:rsid w:val="004446E8"/>
    <w:rsid w:val="00444EBD"/>
    <w:rsid w:val="0044582F"/>
    <w:rsid w:val="00445E27"/>
    <w:rsid w:val="00447505"/>
    <w:rsid w:val="0045057B"/>
    <w:rsid w:val="00451ACB"/>
    <w:rsid w:val="00451D7D"/>
    <w:rsid w:val="00453295"/>
    <w:rsid w:val="00456474"/>
    <w:rsid w:val="00456839"/>
    <w:rsid w:val="00457425"/>
    <w:rsid w:val="00457ECA"/>
    <w:rsid w:val="0046022E"/>
    <w:rsid w:val="00462F63"/>
    <w:rsid w:val="00465C41"/>
    <w:rsid w:val="004678F6"/>
    <w:rsid w:val="00467E23"/>
    <w:rsid w:val="00470BDA"/>
    <w:rsid w:val="0047221E"/>
    <w:rsid w:val="00473856"/>
    <w:rsid w:val="004744CB"/>
    <w:rsid w:val="00474786"/>
    <w:rsid w:val="004754F5"/>
    <w:rsid w:val="0047588E"/>
    <w:rsid w:val="00475E92"/>
    <w:rsid w:val="00476C47"/>
    <w:rsid w:val="00476F66"/>
    <w:rsid w:val="0047781E"/>
    <w:rsid w:val="004801A5"/>
    <w:rsid w:val="004805A0"/>
    <w:rsid w:val="004812FC"/>
    <w:rsid w:val="00481B56"/>
    <w:rsid w:val="00481F51"/>
    <w:rsid w:val="004821E6"/>
    <w:rsid w:val="004835B8"/>
    <w:rsid w:val="004838AD"/>
    <w:rsid w:val="00484A94"/>
    <w:rsid w:val="004858BC"/>
    <w:rsid w:val="00486606"/>
    <w:rsid w:val="00486CF0"/>
    <w:rsid w:val="00486FCE"/>
    <w:rsid w:val="00487885"/>
    <w:rsid w:val="004878C9"/>
    <w:rsid w:val="00487C02"/>
    <w:rsid w:val="00487CD3"/>
    <w:rsid w:val="00490134"/>
    <w:rsid w:val="00490AB9"/>
    <w:rsid w:val="004910CB"/>
    <w:rsid w:val="00492F73"/>
    <w:rsid w:val="00494018"/>
    <w:rsid w:val="004949D6"/>
    <w:rsid w:val="004955EF"/>
    <w:rsid w:val="00495FD2"/>
    <w:rsid w:val="004A1548"/>
    <w:rsid w:val="004A16AE"/>
    <w:rsid w:val="004A18BC"/>
    <w:rsid w:val="004A2F73"/>
    <w:rsid w:val="004A40EA"/>
    <w:rsid w:val="004A4938"/>
    <w:rsid w:val="004A534C"/>
    <w:rsid w:val="004A5787"/>
    <w:rsid w:val="004A77F8"/>
    <w:rsid w:val="004B2282"/>
    <w:rsid w:val="004B3B46"/>
    <w:rsid w:val="004B4473"/>
    <w:rsid w:val="004B447B"/>
    <w:rsid w:val="004B4543"/>
    <w:rsid w:val="004B4FC6"/>
    <w:rsid w:val="004B545D"/>
    <w:rsid w:val="004B597A"/>
    <w:rsid w:val="004B5B2E"/>
    <w:rsid w:val="004B5EF5"/>
    <w:rsid w:val="004B639A"/>
    <w:rsid w:val="004C01BF"/>
    <w:rsid w:val="004C2789"/>
    <w:rsid w:val="004C3CDB"/>
    <w:rsid w:val="004C40C7"/>
    <w:rsid w:val="004C49ED"/>
    <w:rsid w:val="004C6654"/>
    <w:rsid w:val="004C6A62"/>
    <w:rsid w:val="004C6DCC"/>
    <w:rsid w:val="004C7534"/>
    <w:rsid w:val="004D0A47"/>
    <w:rsid w:val="004D0B59"/>
    <w:rsid w:val="004D2106"/>
    <w:rsid w:val="004D615F"/>
    <w:rsid w:val="004D61E3"/>
    <w:rsid w:val="004D6925"/>
    <w:rsid w:val="004D6C7B"/>
    <w:rsid w:val="004D7502"/>
    <w:rsid w:val="004D77FD"/>
    <w:rsid w:val="004E059A"/>
    <w:rsid w:val="004E0669"/>
    <w:rsid w:val="004E09DB"/>
    <w:rsid w:val="004E21F6"/>
    <w:rsid w:val="004E36B2"/>
    <w:rsid w:val="004E3B15"/>
    <w:rsid w:val="004E45E6"/>
    <w:rsid w:val="004E48B5"/>
    <w:rsid w:val="004E48D2"/>
    <w:rsid w:val="004E5459"/>
    <w:rsid w:val="004E65A4"/>
    <w:rsid w:val="004E6B05"/>
    <w:rsid w:val="004E76B9"/>
    <w:rsid w:val="004F077F"/>
    <w:rsid w:val="004F296E"/>
    <w:rsid w:val="004F44B4"/>
    <w:rsid w:val="004F4680"/>
    <w:rsid w:val="004F5ED7"/>
    <w:rsid w:val="004F64CA"/>
    <w:rsid w:val="004F7478"/>
    <w:rsid w:val="004F75CE"/>
    <w:rsid w:val="004F75D6"/>
    <w:rsid w:val="004F78B6"/>
    <w:rsid w:val="0050042B"/>
    <w:rsid w:val="005014E8"/>
    <w:rsid w:val="00501CC6"/>
    <w:rsid w:val="0050224E"/>
    <w:rsid w:val="00502A94"/>
    <w:rsid w:val="00503BE9"/>
    <w:rsid w:val="00503C9B"/>
    <w:rsid w:val="00503E2A"/>
    <w:rsid w:val="00505F67"/>
    <w:rsid w:val="005062D9"/>
    <w:rsid w:val="005071FC"/>
    <w:rsid w:val="005122C3"/>
    <w:rsid w:val="00512EF1"/>
    <w:rsid w:val="0051399C"/>
    <w:rsid w:val="00513B59"/>
    <w:rsid w:val="00514EEA"/>
    <w:rsid w:val="005165E2"/>
    <w:rsid w:val="00516C6D"/>
    <w:rsid w:val="00517141"/>
    <w:rsid w:val="005218AA"/>
    <w:rsid w:val="00521926"/>
    <w:rsid w:val="00524E07"/>
    <w:rsid w:val="00525C12"/>
    <w:rsid w:val="0052618F"/>
    <w:rsid w:val="005273BB"/>
    <w:rsid w:val="00530DC5"/>
    <w:rsid w:val="005327F0"/>
    <w:rsid w:val="00532A0F"/>
    <w:rsid w:val="00533C84"/>
    <w:rsid w:val="00534758"/>
    <w:rsid w:val="00534833"/>
    <w:rsid w:val="00534FCA"/>
    <w:rsid w:val="005371B8"/>
    <w:rsid w:val="005372DB"/>
    <w:rsid w:val="00537BAC"/>
    <w:rsid w:val="005402FE"/>
    <w:rsid w:val="00540386"/>
    <w:rsid w:val="005407B5"/>
    <w:rsid w:val="005423CF"/>
    <w:rsid w:val="00543C95"/>
    <w:rsid w:val="00545D92"/>
    <w:rsid w:val="00545DB3"/>
    <w:rsid w:val="00547D72"/>
    <w:rsid w:val="00550C6C"/>
    <w:rsid w:val="00553752"/>
    <w:rsid w:val="00554116"/>
    <w:rsid w:val="00554133"/>
    <w:rsid w:val="00555EAF"/>
    <w:rsid w:val="00556516"/>
    <w:rsid w:val="00556B67"/>
    <w:rsid w:val="00556F51"/>
    <w:rsid w:val="00557D8C"/>
    <w:rsid w:val="00560108"/>
    <w:rsid w:val="005620B6"/>
    <w:rsid w:val="005623BF"/>
    <w:rsid w:val="00562F12"/>
    <w:rsid w:val="00563BB2"/>
    <w:rsid w:val="00564DB9"/>
    <w:rsid w:val="0056539D"/>
    <w:rsid w:val="00565F49"/>
    <w:rsid w:val="005672AF"/>
    <w:rsid w:val="00567AB4"/>
    <w:rsid w:val="00567DD0"/>
    <w:rsid w:val="00567FFC"/>
    <w:rsid w:val="005719F6"/>
    <w:rsid w:val="005720D7"/>
    <w:rsid w:val="005735B3"/>
    <w:rsid w:val="00574524"/>
    <w:rsid w:val="00574B27"/>
    <w:rsid w:val="00577CB3"/>
    <w:rsid w:val="00580A1A"/>
    <w:rsid w:val="005818B4"/>
    <w:rsid w:val="0058346A"/>
    <w:rsid w:val="00583ACC"/>
    <w:rsid w:val="005842A3"/>
    <w:rsid w:val="00584BEF"/>
    <w:rsid w:val="00586814"/>
    <w:rsid w:val="00587DDE"/>
    <w:rsid w:val="005908AD"/>
    <w:rsid w:val="005919C8"/>
    <w:rsid w:val="00591E0F"/>
    <w:rsid w:val="005922EA"/>
    <w:rsid w:val="00593111"/>
    <w:rsid w:val="00593A05"/>
    <w:rsid w:val="00594A26"/>
    <w:rsid w:val="00595C4F"/>
    <w:rsid w:val="00595DB1"/>
    <w:rsid w:val="00595FA5"/>
    <w:rsid w:val="0059602B"/>
    <w:rsid w:val="00596089"/>
    <w:rsid w:val="00596422"/>
    <w:rsid w:val="005A029A"/>
    <w:rsid w:val="005A0AD3"/>
    <w:rsid w:val="005A0B18"/>
    <w:rsid w:val="005A105A"/>
    <w:rsid w:val="005A2BDC"/>
    <w:rsid w:val="005A489B"/>
    <w:rsid w:val="005A51D3"/>
    <w:rsid w:val="005A53C1"/>
    <w:rsid w:val="005A5B09"/>
    <w:rsid w:val="005A5D20"/>
    <w:rsid w:val="005A62D4"/>
    <w:rsid w:val="005A7767"/>
    <w:rsid w:val="005B078D"/>
    <w:rsid w:val="005B0839"/>
    <w:rsid w:val="005B2336"/>
    <w:rsid w:val="005B2463"/>
    <w:rsid w:val="005B2E54"/>
    <w:rsid w:val="005B37BA"/>
    <w:rsid w:val="005B40E4"/>
    <w:rsid w:val="005B44EF"/>
    <w:rsid w:val="005B4620"/>
    <w:rsid w:val="005B4AF3"/>
    <w:rsid w:val="005B4FFE"/>
    <w:rsid w:val="005B64C4"/>
    <w:rsid w:val="005B6642"/>
    <w:rsid w:val="005B7312"/>
    <w:rsid w:val="005B7416"/>
    <w:rsid w:val="005B74C3"/>
    <w:rsid w:val="005B74EC"/>
    <w:rsid w:val="005C3B34"/>
    <w:rsid w:val="005C4E0D"/>
    <w:rsid w:val="005C5687"/>
    <w:rsid w:val="005C6D8E"/>
    <w:rsid w:val="005C71E9"/>
    <w:rsid w:val="005D02F3"/>
    <w:rsid w:val="005D2633"/>
    <w:rsid w:val="005D2EE2"/>
    <w:rsid w:val="005D38F1"/>
    <w:rsid w:val="005E0116"/>
    <w:rsid w:val="005E0133"/>
    <w:rsid w:val="005E0A01"/>
    <w:rsid w:val="005E16FC"/>
    <w:rsid w:val="005E33FE"/>
    <w:rsid w:val="005E3920"/>
    <w:rsid w:val="005E3CC8"/>
    <w:rsid w:val="005E3E61"/>
    <w:rsid w:val="005E417F"/>
    <w:rsid w:val="005E44ED"/>
    <w:rsid w:val="005E5BB4"/>
    <w:rsid w:val="005E7C5E"/>
    <w:rsid w:val="005F0409"/>
    <w:rsid w:val="005F0495"/>
    <w:rsid w:val="005F0734"/>
    <w:rsid w:val="005F17E7"/>
    <w:rsid w:val="005F1B11"/>
    <w:rsid w:val="005F230D"/>
    <w:rsid w:val="005F3A44"/>
    <w:rsid w:val="005F477C"/>
    <w:rsid w:val="005F4B04"/>
    <w:rsid w:val="005F4C36"/>
    <w:rsid w:val="005F5C9E"/>
    <w:rsid w:val="005F7235"/>
    <w:rsid w:val="006007C8"/>
    <w:rsid w:val="0060107D"/>
    <w:rsid w:val="006029B2"/>
    <w:rsid w:val="0060311D"/>
    <w:rsid w:val="00603417"/>
    <w:rsid w:val="0060436F"/>
    <w:rsid w:val="0060484B"/>
    <w:rsid w:val="00605BDA"/>
    <w:rsid w:val="00607833"/>
    <w:rsid w:val="00613C53"/>
    <w:rsid w:val="006142D7"/>
    <w:rsid w:val="00614E5A"/>
    <w:rsid w:val="00615BC8"/>
    <w:rsid w:val="00617654"/>
    <w:rsid w:val="00617B7F"/>
    <w:rsid w:val="00617F1E"/>
    <w:rsid w:val="00620096"/>
    <w:rsid w:val="00620E3A"/>
    <w:rsid w:val="0062112A"/>
    <w:rsid w:val="00621659"/>
    <w:rsid w:val="00622454"/>
    <w:rsid w:val="00622882"/>
    <w:rsid w:val="00622F84"/>
    <w:rsid w:val="0062391E"/>
    <w:rsid w:val="00623C40"/>
    <w:rsid w:val="0062555E"/>
    <w:rsid w:val="0062595D"/>
    <w:rsid w:val="00625B67"/>
    <w:rsid w:val="006269D5"/>
    <w:rsid w:val="0062746C"/>
    <w:rsid w:val="006275E7"/>
    <w:rsid w:val="00627AA5"/>
    <w:rsid w:val="006300EB"/>
    <w:rsid w:val="00630256"/>
    <w:rsid w:val="00630742"/>
    <w:rsid w:val="00632F3A"/>
    <w:rsid w:val="00633D5B"/>
    <w:rsid w:val="00635227"/>
    <w:rsid w:val="0063595F"/>
    <w:rsid w:val="006359A4"/>
    <w:rsid w:val="00636D9B"/>
    <w:rsid w:val="00640011"/>
    <w:rsid w:val="00640C87"/>
    <w:rsid w:val="006411C4"/>
    <w:rsid w:val="00641697"/>
    <w:rsid w:val="00641E55"/>
    <w:rsid w:val="00642B7B"/>
    <w:rsid w:val="00643088"/>
    <w:rsid w:val="0064385D"/>
    <w:rsid w:val="00643E26"/>
    <w:rsid w:val="0064600B"/>
    <w:rsid w:val="00647CA7"/>
    <w:rsid w:val="00651349"/>
    <w:rsid w:val="006517C9"/>
    <w:rsid w:val="00651ABD"/>
    <w:rsid w:val="00651CA4"/>
    <w:rsid w:val="00652BC5"/>
    <w:rsid w:val="006530C8"/>
    <w:rsid w:val="00653A20"/>
    <w:rsid w:val="00653DD2"/>
    <w:rsid w:val="00654C53"/>
    <w:rsid w:val="006553A4"/>
    <w:rsid w:val="006565DB"/>
    <w:rsid w:val="00656CCB"/>
    <w:rsid w:val="006572FF"/>
    <w:rsid w:val="006575F4"/>
    <w:rsid w:val="00657764"/>
    <w:rsid w:val="00657897"/>
    <w:rsid w:val="00657C87"/>
    <w:rsid w:val="0066039F"/>
    <w:rsid w:val="006606E0"/>
    <w:rsid w:val="00660787"/>
    <w:rsid w:val="0066124C"/>
    <w:rsid w:val="00661285"/>
    <w:rsid w:val="00661E88"/>
    <w:rsid w:val="00662DCD"/>
    <w:rsid w:val="006630CE"/>
    <w:rsid w:val="0066311E"/>
    <w:rsid w:val="00664112"/>
    <w:rsid w:val="00666882"/>
    <w:rsid w:val="006671F5"/>
    <w:rsid w:val="006678CB"/>
    <w:rsid w:val="00670081"/>
    <w:rsid w:val="00671B46"/>
    <w:rsid w:val="00672193"/>
    <w:rsid w:val="00672BAF"/>
    <w:rsid w:val="006744A1"/>
    <w:rsid w:val="006771A8"/>
    <w:rsid w:val="00677642"/>
    <w:rsid w:val="006804E8"/>
    <w:rsid w:val="00680A50"/>
    <w:rsid w:val="00681A9C"/>
    <w:rsid w:val="00681C85"/>
    <w:rsid w:val="00683830"/>
    <w:rsid w:val="00684D7C"/>
    <w:rsid w:val="00686D92"/>
    <w:rsid w:val="006876A6"/>
    <w:rsid w:val="00687ED3"/>
    <w:rsid w:val="00690746"/>
    <w:rsid w:val="00690DE5"/>
    <w:rsid w:val="00691700"/>
    <w:rsid w:val="00691D10"/>
    <w:rsid w:val="00691EB7"/>
    <w:rsid w:val="006920FA"/>
    <w:rsid w:val="006929CF"/>
    <w:rsid w:val="00692FE6"/>
    <w:rsid w:val="00693DB5"/>
    <w:rsid w:val="00694C4B"/>
    <w:rsid w:val="00694E1C"/>
    <w:rsid w:val="006950BA"/>
    <w:rsid w:val="00695357"/>
    <w:rsid w:val="00695FB5"/>
    <w:rsid w:val="0069614C"/>
    <w:rsid w:val="006964AC"/>
    <w:rsid w:val="006974D7"/>
    <w:rsid w:val="006976AA"/>
    <w:rsid w:val="006A024A"/>
    <w:rsid w:val="006A03DD"/>
    <w:rsid w:val="006A1083"/>
    <w:rsid w:val="006A156D"/>
    <w:rsid w:val="006A2A35"/>
    <w:rsid w:val="006A63B6"/>
    <w:rsid w:val="006A7DAB"/>
    <w:rsid w:val="006B0529"/>
    <w:rsid w:val="006B139E"/>
    <w:rsid w:val="006B28B2"/>
    <w:rsid w:val="006B2992"/>
    <w:rsid w:val="006B394E"/>
    <w:rsid w:val="006B466C"/>
    <w:rsid w:val="006B4870"/>
    <w:rsid w:val="006B7AF0"/>
    <w:rsid w:val="006C08C9"/>
    <w:rsid w:val="006C20AF"/>
    <w:rsid w:val="006C259B"/>
    <w:rsid w:val="006C3332"/>
    <w:rsid w:val="006C39EE"/>
    <w:rsid w:val="006C3A44"/>
    <w:rsid w:val="006C3F62"/>
    <w:rsid w:val="006C4422"/>
    <w:rsid w:val="006C7A23"/>
    <w:rsid w:val="006D16A4"/>
    <w:rsid w:val="006D2477"/>
    <w:rsid w:val="006D431B"/>
    <w:rsid w:val="006D45A4"/>
    <w:rsid w:val="006D7F64"/>
    <w:rsid w:val="006E174A"/>
    <w:rsid w:val="006E2332"/>
    <w:rsid w:val="006E7EB7"/>
    <w:rsid w:val="006E7F6E"/>
    <w:rsid w:val="006F2EE0"/>
    <w:rsid w:val="006F3661"/>
    <w:rsid w:val="006F46C6"/>
    <w:rsid w:val="006F694F"/>
    <w:rsid w:val="006F6F2D"/>
    <w:rsid w:val="00700318"/>
    <w:rsid w:val="007005E4"/>
    <w:rsid w:val="00700778"/>
    <w:rsid w:val="00700AA0"/>
    <w:rsid w:val="00700CF6"/>
    <w:rsid w:val="007015E6"/>
    <w:rsid w:val="0070206C"/>
    <w:rsid w:val="007023A1"/>
    <w:rsid w:val="00702812"/>
    <w:rsid w:val="007041EB"/>
    <w:rsid w:val="007058D7"/>
    <w:rsid w:val="007066B6"/>
    <w:rsid w:val="007075DF"/>
    <w:rsid w:val="00710114"/>
    <w:rsid w:val="00710E7C"/>
    <w:rsid w:val="00711137"/>
    <w:rsid w:val="00713D77"/>
    <w:rsid w:val="00713E52"/>
    <w:rsid w:val="00715857"/>
    <w:rsid w:val="00716A6D"/>
    <w:rsid w:val="0071713A"/>
    <w:rsid w:val="00717970"/>
    <w:rsid w:val="00720523"/>
    <w:rsid w:val="00722984"/>
    <w:rsid w:val="00722CEA"/>
    <w:rsid w:val="00722D31"/>
    <w:rsid w:val="00725902"/>
    <w:rsid w:val="007265CF"/>
    <w:rsid w:val="00727EB3"/>
    <w:rsid w:val="00727F12"/>
    <w:rsid w:val="007333E8"/>
    <w:rsid w:val="007334AE"/>
    <w:rsid w:val="00734D7E"/>
    <w:rsid w:val="007364DE"/>
    <w:rsid w:val="00737EE1"/>
    <w:rsid w:val="00740C3B"/>
    <w:rsid w:val="007411E1"/>
    <w:rsid w:val="00741B55"/>
    <w:rsid w:val="0074252A"/>
    <w:rsid w:val="00743545"/>
    <w:rsid w:val="00743D33"/>
    <w:rsid w:val="0074632F"/>
    <w:rsid w:val="007465CD"/>
    <w:rsid w:val="00746674"/>
    <w:rsid w:val="00746C43"/>
    <w:rsid w:val="0075040B"/>
    <w:rsid w:val="007508B1"/>
    <w:rsid w:val="0075190F"/>
    <w:rsid w:val="00751CE8"/>
    <w:rsid w:val="007526BF"/>
    <w:rsid w:val="00754AB0"/>
    <w:rsid w:val="00754FA2"/>
    <w:rsid w:val="00756EB4"/>
    <w:rsid w:val="00756FB6"/>
    <w:rsid w:val="0075711A"/>
    <w:rsid w:val="00757E65"/>
    <w:rsid w:val="007608ED"/>
    <w:rsid w:val="00761789"/>
    <w:rsid w:val="00761FFC"/>
    <w:rsid w:val="00763DAF"/>
    <w:rsid w:val="007642CB"/>
    <w:rsid w:val="00764EE3"/>
    <w:rsid w:val="00767DD6"/>
    <w:rsid w:val="007713BB"/>
    <w:rsid w:val="007715A6"/>
    <w:rsid w:val="00771795"/>
    <w:rsid w:val="00771B71"/>
    <w:rsid w:val="00772280"/>
    <w:rsid w:val="007726FF"/>
    <w:rsid w:val="00774921"/>
    <w:rsid w:val="00775E54"/>
    <w:rsid w:val="007765B0"/>
    <w:rsid w:val="00776BC4"/>
    <w:rsid w:val="007806DC"/>
    <w:rsid w:val="0078070C"/>
    <w:rsid w:val="00781A7C"/>
    <w:rsid w:val="00782AED"/>
    <w:rsid w:val="00782E90"/>
    <w:rsid w:val="00783CC6"/>
    <w:rsid w:val="00783CC9"/>
    <w:rsid w:val="00785CF5"/>
    <w:rsid w:val="00787234"/>
    <w:rsid w:val="00787743"/>
    <w:rsid w:val="00790248"/>
    <w:rsid w:val="00791190"/>
    <w:rsid w:val="00791E26"/>
    <w:rsid w:val="007920F0"/>
    <w:rsid w:val="00793620"/>
    <w:rsid w:val="00793AE0"/>
    <w:rsid w:val="00793F2C"/>
    <w:rsid w:val="007940F4"/>
    <w:rsid w:val="007956C2"/>
    <w:rsid w:val="007958D1"/>
    <w:rsid w:val="00795DA2"/>
    <w:rsid w:val="00795F61"/>
    <w:rsid w:val="00796B9B"/>
    <w:rsid w:val="007974A7"/>
    <w:rsid w:val="00797598"/>
    <w:rsid w:val="007A0573"/>
    <w:rsid w:val="007A2815"/>
    <w:rsid w:val="007A2EED"/>
    <w:rsid w:val="007A377A"/>
    <w:rsid w:val="007A4105"/>
    <w:rsid w:val="007A5BFD"/>
    <w:rsid w:val="007A5C80"/>
    <w:rsid w:val="007B0EF9"/>
    <w:rsid w:val="007B18A4"/>
    <w:rsid w:val="007B1B78"/>
    <w:rsid w:val="007B2083"/>
    <w:rsid w:val="007B5EF9"/>
    <w:rsid w:val="007B7B8D"/>
    <w:rsid w:val="007C16E4"/>
    <w:rsid w:val="007C2A08"/>
    <w:rsid w:val="007C2A9F"/>
    <w:rsid w:val="007C3A18"/>
    <w:rsid w:val="007C5A2E"/>
    <w:rsid w:val="007C5B2C"/>
    <w:rsid w:val="007C5D75"/>
    <w:rsid w:val="007C71A5"/>
    <w:rsid w:val="007D0313"/>
    <w:rsid w:val="007D0663"/>
    <w:rsid w:val="007D0D41"/>
    <w:rsid w:val="007D0EDE"/>
    <w:rsid w:val="007D12E2"/>
    <w:rsid w:val="007D18EE"/>
    <w:rsid w:val="007D30E7"/>
    <w:rsid w:val="007D3E5D"/>
    <w:rsid w:val="007D4028"/>
    <w:rsid w:val="007D412D"/>
    <w:rsid w:val="007D4A4C"/>
    <w:rsid w:val="007D54E2"/>
    <w:rsid w:val="007D5A15"/>
    <w:rsid w:val="007D65F5"/>
    <w:rsid w:val="007D71F7"/>
    <w:rsid w:val="007E02DB"/>
    <w:rsid w:val="007E2750"/>
    <w:rsid w:val="007E280C"/>
    <w:rsid w:val="007E2AE9"/>
    <w:rsid w:val="007E4176"/>
    <w:rsid w:val="007E4E1C"/>
    <w:rsid w:val="007E6D96"/>
    <w:rsid w:val="007E6F97"/>
    <w:rsid w:val="007E7999"/>
    <w:rsid w:val="007F043B"/>
    <w:rsid w:val="007F0772"/>
    <w:rsid w:val="007F07DE"/>
    <w:rsid w:val="007F0B3E"/>
    <w:rsid w:val="007F1582"/>
    <w:rsid w:val="007F2DE6"/>
    <w:rsid w:val="007F357E"/>
    <w:rsid w:val="007F4377"/>
    <w:rsid w:val="007F5B77"/>
    <w:rsid w:val="007F6BC8"/>
    <w:rsid w:val="00800A23"/>
    <w:rsid w:val="0080113B"/>
    <w:rsid w:val="008021EE"/>
    <w:rsid w:val="008022A0"/>
    <w:rsid w:val="008039CA"/>
    <w:rsid w:val="00804A36"/>
    <w:rsid w:val="00805291"/>
    <w:rsid w:val="00807E38"/>
    <w:rsid w:val="0081007D"/>
    <w:rsid w:val="0081047C"/>
    <w:rsid w:val="00810A22"/>
    <w:rsid w:val="00810BDF"/>
    <w:rsid w:val="00810CCD"/>
    <w:rsid w:val="00812D07"/>
    <w:rsid w:val="00814C27"/>
    <w:rsid w:val="00815F37"/>
    <w:rsid w:val="008162ED"/>
    <w:rsid w:val="00817570"/>
    <w:rsid w:val="00820D81"/>
    <w:rsid w:val="00821A35"/>
    <w:rsid w:val="008224AD"/>
    <w:rsid w:val="0082310A"/>
    <w:rsid w:val="00823526"/>
    <w:rsid w:val="0082377A"/>
    <w:rsid w:val="00823C03"/>
    <w:rsid w:val="00823C86"/>
    <w:rsid w:val="008247C5"/>
    <w:rsid w:val="0082622C"/>
    <w:rsid w:val="00826907"/>
    <w:rsid w:val="008277C3"/>
    <w:rsid w:val="00830108"/>
    <w:rsid w:val="008305AD"/>
    <w:rsid w:val="00831549"/>
    <w:rsid w:val="008316B8"/>
    <w:rsid w:val="008340A5"/>
    <w:rsid w:val="00834C0B"/>
    <w:rsid w:val="00834C1B"/>
    <w:rsid w:val="00835ADC"/>
    <w:rsid w:val="0084223A"/>
    <w:rsid w:val="00843335"/>
    <w:rsid w:val="00844432"/>
    <w:rsid w:val="00844554"/>
    <w:rsid w:val="00844D4F"/>
    <w:rsid w:val="00844DCE"/>
    <w:rsid w:val="00845142"/>
    <w:rsid w:val="008452F8"/>
    <w:rsid w:val="00845A36"/>
    <w:rsid w:val="00845F4F"/>
    <w:rsid w:val="0084600E"/>
    <w:rsid w:val="00847D0E"/>
    <w:rsid w:val="00847F4C"/>
    <w:rsid w:val="00850178"/>
    <w:rsid w:val="00851C71"/>
    <w:rsid w:val="0085200E"/>
    <w:rsid w:val="008526B6"/>
    <w:rsid w:val="008535D9"/>
    <w:rsid w:val="00853683"/>
    <w:rsid w:val="008537DC"/>
    <w:rsid w:val="0085450D"/>
    <w:rsid w:val="008574C4"/>
    <w:rsid w:val="008608AF"/>
    <w:rsid w:val="00860A60"/>
    <w:rsid w:val="00861004"/>
    <w:rsid w:val="008611BC"/>
    <w:rsid w:val="00861D78"/>
    <w:rsid w:val="008627FA"/>
    <w:rsid w:val="008641F3"/>
    <w:rsid w:val="00864497"/>
    <w:rsid w:val="008644D9"/>
    <w:rsid w:val="008650B2"/>
    <w:rsid w:val="0086681A"/>
    <w:rsid w:val="008673E0"/>
    <w:rsid w:val="00873462"/>
    <w:rsid w:val="008735E3"/>
    <w:rsid w:val="008738F0"/>
    <w:rsid w:val="008749DB"/>
    <w:rsid w:val="00876D89"/>
    <w:rsid w:val="00877952"/>
    <w:rsid w:val="008804A3"/>
    <w:rsid w:val="00880A26"/>
    <w:rsid w:val="00880C04"/>
    <w:rsid w:val="0088124E"/>
    <w:rsid w:val="00881527"/>
    <w:rsid w:val="00881BE4"/>
    <w:rsid w:val="008827E2"/>
    <w:rsid w:val="00884F1F"/>
    <w:rsid w:val="00886B4A"/>
    <w:rsid w:val="00886D9C"/>
    <w:rsid w:val="0088704D"/>
    <w:rsid w:val="00887770"/>
    <w:rsid w:val="0089005C"/>
    <w:rsid w:val="00890F1C"/>
    <w:rsid w:val="00891661"/>
    <w:rsid w:val="00891833"/>
    <w:rsid w:val="00892865"/>
    <w:rsid w:val="008929A1"/>
    <w:rsid w:val="008938FD"/>
    <w:rsid w:val="00894844"/>
    <w:rsid w:val="00894BC2"/>
    <w:rsid w:val="00895633"/>
    <w:rsid w:val="0089580A"/>
    <w:rsid w:val="00896490"/>
    <w:rsid w:val="008A0993"/>
    <w:rsid w:val="008A4277"/>
    <w:rsid w:val="008A4957"/>
    <w:rsid w:val="008A52F1"/>
    <w:rsid w:val="008A54FF"/>
    <w:rsid w:val="008A5D37"/>
    <w:rsid w:val="008A6685"/>
    <w:rsid w:val="008B0C9D"/>
    <w:rsid w:val="008B113C"/>
    <w:rsid w:val="008B19AC"/>
    <w:rsid w:val="008B1C5E"/>
    <w:rsid w:val="008B3646"/>
    <w:rsid w:val="008B4D98"/>
    <w:rsid w:val="008B4F02"/>
    <w:rsid w:val="008B4FA3"/>
    <w:rsid w:val="008B5C49"/>
    <w:rsid w:val="008B69C7"/>
    <w:rsid w:val="008B6EB1"/>
    <w:rsid w:val="008B740C"/>
    <w:rsid w:val="008C0971"/>
    <w:rsid w:val="008C0D8D"/>
    <w:rsid w:val="008C13D8"/>
    <w:rsid w:val="008C1601"/>
    <w:rsid w:val="008C16D8"/>
    <w:rsid w:val="008C2C3B"/>
    <w:rsid w:val="008C3177"/>
    <w:rsid w:val="008C50D4"/>
    <w:rsid w:val="008C50F4"/>
    <w:rsid w:val="008C6891"/>
    <w:rsid w:val="008C6B55"/>
    <w:rsid w:val="008C6E87"/>
    <w:rsid w:val="008C7A6C"/>
    <w:rsid w:val="008D0F27"/>
    <w:rsid w:val="008D129F"/>
    <w:rsid w:val="008D36D9"/>
    <w:rsid w:val="008D3AB1"/>
    <w:rsid w:val="008D4A66"/>
    <w:rsid w:val="008D6BD9"/>
    <w:rsid w:val="008D7159"/>
    <w:rsid w:val="008E15D5"/>
    <w:rsid w:val="008E1772"/>
    <w:rsid w:val="008E335E"/>
    <w:rsid w:val="008E3748"/>
    <w:rsid w:val="008E3F9F"/>
    <w:rsid w:val="008E4D28"/>
    <w:rsid w:val="008E62AA"/>
    <w:rsid w:val="008F0C80"/>
    <w:rsid w:val="008F18A9"/>
    <w:rsid w:val="008F65D5"/>
    <w:rsid w:val="009008A4"/>
    <w:rsid w:val="0090230E"/>
    <w:rsid w:val="00902B46"/>
    <w:rsid w:val="00902E8A"/>
    <w:rsid w:val="00903AFA"/>
    <w:rsid w:val="00903B24"/>
    <w:rsid w:val="00905A15"/>
    <w:rsid w:val="00905B97"/>
    <w:rsid w:val="00905E2D"/>
    <w:rsid w:val="00907AE8"/>
    <w:rsid w:val="00910347"/>
    <w:rsid w:val="0091050D"/>
    <w:rsid w:val="009109F2"/>
    <w:rsid w:val="00910A8E"/>
    <w:rsid w:val="00912210"/>
    <w:rsid w:val="00913F1D"/>
    <w:rsid w:val="00913F6F"/>
    <w:rsid w:val="009165FC"/>
    <w:rsid w:val="00916738"/>
    <w:rsid w:val="00916D20"/>
    <w:rsid w:val="00920323"/>
    <w:rsid w:val="00921209"/>
    <w:rsid w:val="009233BA"/>
    <w:rsid w:val="009237FF"/>
    <w:rsid w:val="00923980"/>
    <w:rsid w:val="0092484E"/>
    <w:rsid w:val="00925110"/>
    <w:rsid w:val="00927326"/>
    <w:rsid w:val="009277F2"/>
    <w:rsid w:val="00927A5C"/>
    <w:rsid w:val="009312DB"/>
    <w:rsid w:val="00931615"/>
    <w:rsid w:val="00932146"/>
    <w:rsid w:val="009339C1"/>
    <w:rsid w:val="00933B31"/>
    <w:rsid w:val="00934467"/>
    <w:rsid w:val="00935490"/>
    <w:rsid w:val="009355EE"/>
    <w:rsid w:val="00937348"/>
    <w:rsid w:val="009405E4"/>
    <w:rsid w:val="00940B66"/>
    <w:rsid w:val="00941585"/>
    <w:rsid w:val="009416D0"/>
    <w:rsid w:val="00942C95"/>
    <w:rsid w:val="00944A2F"/>
    <w:rsid w:val="0094531A"/>
    <w:rsid w:val="009468C1"/>
    <w:rsid w:val="00946A3C"/>
    <w:rsid w:val="009476DF"/>
    <w:rsid w:val="0095038E"/>
    <w:rsid w:val="00951617"/>
    <w:rsid w:val="00952189"/>
    <w:rsid w:val="00952251"/>
    <w:rsid w:val="00954B20"/>
    <w:rsid w:val="00954CFC"/>
    <w:rsid w:val="00954D66"/>
    <w:rsid w:val="00955411"/>
    <w:rsid w:val="00955BF3"/>
    <w:rsid w:val="0095611B"/>
    <w:rsid w:val="00956D16"/>
    <w:rsid w:val="00957783"/>
    <w:rsid w:val="009579F6"/>
    <w:rsid w:val="00957B9A"/>
    <w:rsid w:val="00957F9F"/>
    <w:rsid w:val="0096052F"/>
    <w:rsid w:val="009605F4"/>
    <w:rsid w:val="0096068C"/>
    <w:rsid w:val="009614F9"/>
    <w:rsid w:val="00961965"/>
    <w:rsid w:val="00962F05"/>
    <w:rsid w:val="009630BD"/>
    <w:rsid w:val="009639F8"/>
    <w:rsid w:val="00964BF8"/>
    <w:rsid w:val="00965B0C"/>
    <w:rsid w:val="009667B8"/>
    <w:rsid w:val="00966DBB"/>
    <w:rsid w:val="00967F75"/>
    <w:rsid w:val="00970086"/>
    <w:rsid w:val="0097045B"/>
    <w:rsid w:val="00970C0D"/>
    <w:rsid w:val="009717D5"/>
    <w:rsid w:val="00972C30"/>
    <w:rsid w:val="009750AD"/>
    <w:rsid w:val="0097595F"/>
    <w:rsid w:val="00975A87"/>
    <w:rsid w:val="00975DEE"/>
    <w:rsid w:val="00976504"/>
    <w:rsid w:val="00976834"/>
    <w:rsid w:val="009769E0"/>
    <w:rsid w:val="00977654"/>
    <w:rsid w:val="009802C0"/>
    <w:rsid w:val="00980D35"/>
    <w:rsid w:val="00982B48"/>
    <w:rsid w:val="00982E95"/>
    <w:rsid w:val="00984BB3"/>
    <w:rsid w:val="00986B28"/>
    <w:rsid w:val="00986F05"/>
    <w:rsid w:val="009873DB"/>
    <w:rsid w:val="0099129F"/>
    <w:rsid w:val="00993415"/>
    <w:rsid w:val="0099362A"/>
    <w:rsid w:val="00994AD6"/>
    <w:rsid w:val="00994E6B"/>
    <w:rsid w:val="0099553F"/>
    <w:rsid w:val="009955F0"/>
    <w:rsid w:val="00995A4A"/>
    <w:rsid w:val="009A0990"/>
    <w:rsid w:val="009A0FB8"/>
    <w:rsid w:val="009A204C"/>
    <w:rsid w:val="009A2538"/>
    <w:rsid w:val="009A4544"/>
    <w:rsid w:val="009A637C"/>
    <w:rsid w:val="009B06AA"/>
    <w:rsid w:val="009B13D1"/>
    <w:rsid w:val="009B14F5"/>
    <w:rsid w:val="009B188F"/>
    <w:rsid w:val="009B30FA"/>
    <w:rsid w:val="009B4E4D"/>
    <w:rsid w:val="009B55C1"/>
    <w:rsid w:val="009B6361"/>
    <w:rsid w:val="009B6A8A"/>
    <w:rsid w:val="009B6D82"/>
    <w:rsid w:val="009B76B9"/>
    <w:rsid w:val="009B7800"/>
    <w:rsid w:val="009C00B3"/>
    <w:rsid w:val="009C0340"/>
    <w:rsid w:val="009C045B"/>
    <w:rsid w:val="009C1341"/>
    <w:rsid w:val="009C1521"/>
    <w:rsid w:val="009C1A83"/>
    <w:rsid w:val="009C2680"/>
    <w:rsid w:val="009C5C5B"/>
    <w:rsid w:val="009C68E7"/>
    <w:rsid w:val="009C6A58"/>
    <w:rsid w:val="009C70DE"/>
    <w:rsid w:val="009D079A"/>
    <w:rsid w:val="009D13F8"/>
    <w:rsid w:val="009D149D"/>
    <w:rsid w:val="009D1F96"/>
    <w:rsid w:val="009D201C"/>
    <w:rsid w:val="009D287F"/>
    <w:rsid w:val="009D3485"/>
    <w:rsid w:val="009D3576"/>
    <w:rsid w:val="009D3614"/>
    <w:rsid w:val="009D4306"/>
    <w:rsid w:val="009D4EB9"/>
    <w:rsid w:val="009D52AF"/>
    <w:rsid w:val="009D6C84"/>
    <w:rsid w:val="009D70B2"/>
    <w:rsid w:val="009D7ABA"/>
    <w:rsid w:val="009E179E"/>
    <w:rsid w:val="009E1EA0"/>
    <w:rsid w:val="009E363B"/>
    <w:rsid w:val="009E398D"/>
    <w:rsid w:val="009E46D9"/>
    <w:rsid w:val="009E4AD3"/>
    <w:rsid w:val="009E546C"/>
    <w:rsid w:val="009E5664"/>
    <w:rsid w:val="009E5CE9"/>
    <w:rsid w:val="009E6C49"/>
    <w:rsid w:val="009E7395"/>
    <w:rsid w:val="009E77AF"/>
    <w:rsid w:val="009E7B9E"/>
    <w:rsid w:val="009F0367"/>
    <w:rsid w:val="009F1B7A"/>
    <w:rsid w:val="009F2B83"/>
    <w:rsid w:val="009F3A41"/>
    <w:rsid w:val="009F3D3A"/>
    <w:rsid w:val="009F475C"/>
    <w:rsid w:val="009F5B43"/>
    <w:rsid w:val="009F5E3E"/>
    <w:rsid w:val="009F62D0"/>
    <w:rsid w:val="009F6988"/>
    <w:rsid w:val="00A003ED"/>
    <w:rsid w:val="00A00DE7"/>
    <w:rsid w:val="00A0190E"/>
    <w:rsid w:val="00A019A4"/>
    <w:rsid w:val="00A04345"/>
    <w:rsid w:val="00A0459C"/>
    <w:rsid w:val="00A0472E"/>
    <w:rsid w:val="00A05815"/>
    <w:rsid w:val="00A05A74"/>
    <w:rsid w:val="00A06FC2"/>
    <w:rsid w:val="00A07097"/>
    <w:rsid w:val="00A13668"/>
    <w:rsid w:val="00A13DA1"/>
    <w:rsid w:val="00A15FB4"/>
    <w:rsid w:val="00A16B1D"/>
    <w:rsid w:val="00A16EB3"/>
    <w:rsid w:val="00A17350"/>
    <w:rsid w:val="00A174CC"/>
    <w:rsid w:val="00A17DA1"/>
    <w:rsid w:val="00A20398"/>
    <w:rsid w:val="00A20AED"/>
    <w:rsid w:val="00A20B84"/>
    <w:rsid w:val="00A20E09"/>
    <w:rsid w:val="00A21391"/>
    <w:rsid w:val="00A2230B"/>
    <w:rsid w:val="00A23659"/>
    <w:rsid w:val="00A24EA5"/>
    <w:rsid w:val="00A260A2"/>
    <w:rsid w:val="00A26522"/>
    <w:rsid w:val="00A26581"/>
    <w:rsid w:val="00A26B88"/>
    <w:rsid w:val="00A3388C"/>
    <w:rsid w:val="00A342CF"/>
    <w:rsid w:val="00A344FE"/>
    <w:rsid w:val="00A34525"/>
    <w:rsid w:val="00A358A1"/>
    <w:rsid w:val="00A36640"/>
    <w:rsid w:val="00A36664"/>
    <w:rsid w:val="00A36F85"/>
    <w:rsid w:val="00A3708C"/>
    <w:rsid w:val="00A37D18"/>
    <w:rsid w:val="00A405D5"/>
    <w:rsid w:val="00A41ABD"/>
    <w:rsid w:val="00A43F4D"/>
    <w:rsid w:val="00A4486D"/>
    <w:rsid w:val="00A44F52"/>
    <w:rsid w:val="00A45F39"/>
    <w:rsid w:val="00A463D1"/>
    <w:rsid w:val="00A46B8A"/>
    <w:rsid w:val="00A47B4F"/>
    <w:rsid w:val="00A50037"/>
    <w:rsid w:val="00A50188"/>
    <w:rsid w:val="00A50763"/>
    <w:rsid w:val="00A5157C"/>
    <w:rsid w:val="00A51C6A"/>
    <w:rsid w:val="00A52754"/>
    <w:rsid w:val="00A52D93"/>
    <w:rsid w:val="00A53725"/>
    <w:rsid w:val="00A53BFB"/>
    <w:rsid w:val="00A5640C"/>
    <w:rsid w:val="00A60202"/>
    <w:rsid w:val="00A602C3"/>
    <w:rsid w:val="00A6229A"/>
    <w:rsid w:val="00A62515"/>
    <w:rsid w:val="00A626D9"/>
    <w:rsid w:val="00A66570"/>
    <w:rsid w:val="00A66B61"/>
    <w:rsid w:val="00A67FC6"/>
    <w:rsid w:val="00A71B1D"/>
    <w:rsid w:val="00A721B3"/>
    <w:rsid w:val="00A72827"/>
    <w:rsid w:val="00A73979"/>
    <w:rsid w:val="00A73CBE"/>
    <w:rsid w:val="00A7414F"/>
    <w:rsid w:val="00A8218F"/>
    <w:rsid w:val="00A8251C"/>
    <w:rsid w:val="00A82E44"/>
    <w:rsid w:val="00A830F6"/>
    <w:rsid w:val="00A83139"/>
    <w:rsid w:val="00A83F9B"/>
    <w:rsid w:val="00A84383"/>
    <w:rsid w:val="00A84F8F"/>
    <w:rsid w:val="00A869E2"/>
    <w:rsid w:val="00A875A6"/>
    <w:rsid w:val="00A903B0"/>
    <w:rsid w:val="00A90995"/>
    <w:rsid w:val="00A90F8E"/>
    <w:rsid w:val="00A92F0B"/>
    <w:rsid w:val="00A9307A"/>
    <w:rsid w:val="00A93244"/>
    <w:rsid w:val="00A93F00"/>
    <w:rsid w:val="00A950C4"/>
    <w:rsid w:val="00A95AE5"/>
    <w:rsid w:val="00A95C77"/>
    <w:rsid w:val="00A95E30"/>
    <w:rsid w:val="00A9643F"/>
    <w:rsid w:val="00A96626"/>
    <w:rsid w:val="00A97014"/>
    <w:rsid w:val="00AA1168"/>
    <w:rsid w:val="00AA16AE"/>
    <w:rsid w:val="00AA189C"/>
    <w:rsid w:val="00AA2031"/>
    <w:rsid w:val="00AA34AA"/>
    <w:rsid w:val="00AA3579"/>
    <w:rsid w:val="00AA4493"/>
    <w:rsid w:val="00AA4B48"/>
    <w:rsid w:val="00AA4C56"/>
    <w:rsid w:val="00AA4FF8"/>
    <w:rsid w:val="00AA6AD8"/>
    <w:rsid w:val="00AA748B"/>
    <w:rsid w:val="00AB0FDE"/>
    <w:rsid w:val="00AB106E"/>
    <w:rsid w:val="00AB1F69"/>
    <w:rsid w:val="00AB364B"/>
    <w:rsid w:val="00AB4623"/>
    <w:rsid w:val="00AB539D"/>
    <w:rsid w:val="00AB5C8C"/>
    <w:rsid w:val="00AB6452"/>
    <w:rsid w:val="00AB6580"/>
    <w:rsid w:val="00AB6882"/>
    <w:rsid w:val="00AB7DC1"/>
    <w:rsid w:val="00AC0404"/>
    <w:rsid w:val="00AC091B"/>
    <w:rsid w:val="00AC0F14"/>
    <w:rsid w:val="00AC1B86"/>
    <w:rsid w:val="00AC1E88"/>
    <w:rsid w:val="00AC2EF7"/>
    <w:rsid w:val="00AC3F7E"/>
    <w:rsid w:val="00AC4B44"/>
    <w:rsid w:val="00AC5871"/>
    <w:rsid w:val="00AC5DCE"/>
    <w:rsid w:val="00AC7F38"/>
    <w:rsid w:val="00AD0350"/>
    <w:rsid w:val="00AD1728"/>
    <w:rsid w:val="00AD1A27"/>
    <w:rsid w:val="00AD1B32"/>
    <w:rsid w:val="00AD5509"/>
    <w:rsid w:val="00AD5576"/>
    <w:rsid w:val="00AE06BB"/>
    <w:rsid w:val="00AE1536"/>
    <w:rsid w:val="00AE4C97"/>
    <w:rsid w:val="00AE7F8C"/>
    <w:rsid w:val="00AF12F1"/>
    <w:rsid w:val="00AF1672"/>
    <w:rsid w:val="00AF1B0C"/>
    <w:rsid w:val="00AF207D"/>
    <w:rsid w:val="00AF20B2"/>
    <w:rsid w:val="00AF2F77"/>
    <w:rsid w:val="00AF3170"/>
    <w:rsid w:val="00AF365B"/>
    <w:rsid w:val="00AF3C89"/>
    <w:rsid w:val="00AF4BB0"/>
    <w:rsid w:val="00AF4D2A"/>
    <w:rsid w:val="00AF4D4D"/>
    <w:rsid w:val="00AF4FFA"/>
    <w:rsid w:val="00AF5AE2"/>
    <w:rsid w:val="00AF6D15"/>
    <w:rsid w:val="00B0019C"/>
    <w:rsid w:val="00B00624"/>
    <w:rsid w:val="00B01C32"/>
    <w:rsid w:val="00B022BE"/>
    <w:rsid w:val="00B03DF4"/>
    <w:rsid w:val="00B04784"/>
    <w:rsid w:val="00B0584A"/>
    <w:rsid w:val="00B0700C"/>
    <w:rsid w:val="00B07759"/>
    <w:rsid w:val="00B07E46"/>
    <w:rsid w:val="00B113A4"/>
    <w:rsid w:val="00B11AD2"/>
    <w:rsid w:val="00B11ADB"/>
    <w:rsid w:val="00B123EF"/>
    <w:rsid w:val="00B124D0"/>
    <w:rsid w:val="00B12A09"/>
    <w:rsid w:val="00B12F39"/>
    <w:rsid w:val="00B13AE5"/>
    <w:rsid w:val="00B15657"/>
    <w:rsid w:val="00B15C9A"/>
    <w:rsid w:val="00B15F83"/>
    <w:rsid w:val="00B16141"/>
    <w:rsid w:val="00B16BFA"/>
    <w:rsid w:val="00B17469"/>
    <w:rsid w:val="00B17DE3"/>
    <w:rsid w:val="00B20FD4"/>
    <w:rsid w:val="00B21329"/>
    <w:rsid w:val="00B217CE"/>
    <w:rsid w:val="00B21C29"/>
    <w:rsid w:val="00B21DD4"/>
    <w:rsid w:val="00B24249"/>
    <w:rsid w:val="00B24295"/>
    <w:rsid w:val="00B250C4"/>
    <w:rsid w:val="00B252D7"/>
    <w:rsid w:val="00B2732E"/>
    <w:rsid w:val="00B276E5"/>
    <w:rsid w:val="00B30257"/>
    <w:rsid w:val="00B30C97"/>
    <w:rsid w:val="00B30E1C"/>
    <w:rsid w:val="00B31DBB"/>
    <w:rsid w:val="00B325DA"/>
    <w:rsid w:val="00B342FF"/>
    <w:rsid w:val="00B3481A"/>
    <w:rsid w:val="00B34FEF"/>
    <w:rsid w:val="00B36D32"/>
    <w:rsid w:val="00B36D83"/>
    <w:rsid w:val="00B37996"/>
    <w:rsid w:val="00B42167"/>
    <w:rsid w:val="00B42E81"/>
    <w:rsid w:val="00B440F3"/>
    <w:rsid w:val="00B44EF6"/>
    <w:rsid w:val="00B457B3"/>
    <w:rsid w:val="00B45BE0"/>
    <w:rsid w:val="00B50160"/>
    <w:rsid w:val="00B501DA"/>
    <w:rsid w:val="00B533EF"/>
    <w:rsid w:val="00B54988"/>
    <w:rsid w:val="00B54BCE"/>
    <w:rsid w:val="00B561CA"/>
    <w:rsid w:val="00B566A1"/>
    <w:rsid w:val="00B566A9"/>
    <w:rsid w:val="00B61849"/>
    <w:rsid w:val="00B6318E"/>
    <w:rsid w:val="00B6442A"/>
    <w:rsid w:val="00B65C35"/>
    <w:rsid w:val="00B65C84"/>
    <w:rsid w:val="00B66A52"/>
    <w:rsid w:val="00B67109"/>
    <w:rsid w:val="00B7100C"/>
    <w:rsid w:val="00B71258"/>
    <w:rsid w:val="00B71A01"/>
    <w:rsid w:val="00B73106"/>
    <w:rsid w:val="00B738CE"/>
    <w:rsid w:val="00B74ADD"/>
    <w:rsid w:val="00B764D8"/>
    <w:rsid w:val="00B76975"/>
    <w:rsid w:val="00B8090B"/>
    <w:rsid w:val="00B80957"/>
    <w:rsid w:val="00B80E24"/>
    <w:rsid w:val="00B815D1"/>
    <w:rsid w:val="00B82326"/>
    <w:rsid w:val="00B82FAE"/>
    <w:rsid w:val="00B839DD"/>
    <w:rsid w:val="00B83C74"/>
    <w:rsid w:val="00B846F5"/>
    <w:rsid w:val="00B85B7B"/>
    <w:rsid w:val="00B85EBB"/>
    <w:rsid w:val="00B85F05"/>
    <w:rsid w:val="00B8625F"/>
    <w:rsid w:val="00B86352"/>
    <w:rsid w:val="00B9004A"/>
    <w:rsid w:val="00B902A3"/>
    <w:rsid w:val="00B9051E"/>
    <w:rsid w:val="00B923A3"/>
    <w:rsid w:val="00B92E3F"/>
    <w:rsid w:val="00B943A6"/>
    <w:rsid w:val="00B947E7"/>
    <w:rsid w:val="00B953EB"/>
    <w:rsid w:val="00B957E6"/>
    <w:rsid w:val="00B95B9B"/>
    <w:rsid w:val="00B95D74"/>
    <w:rsid w:val="00B96099"/>
    <w:rsid w:val="00BA0234"/>
    <w:rsid w:val="00BA1E18"/>
    <w:rsid w:val="00BA2177"/>
    <w:rsid w:val="00BA21FD"/>
    <w:rsid w:val="00BA6A8B"/>
    <w:rsid w:val="00BB16B3"/>
    <w:rsid w:val="00BB2302"/>
    <w:rsid w:val="00BB32E4"/>
    <w:rsid w:val="00BB4A59"/>
    <w:rsid w:val="00BB545F"/>
    <w:rsid w:val="00BB6BBB"/>
    <w:rsid w:val="00BB6FAB"/>
    <w:rsid w:val="00BB7BD2"/>
    <w:rsid w:val="00BC0B0C"/>
    <w:rsid w:val="00BC3080"/>
    <w:rsid w:val="00BC3F7E"/>
    <w:rsid w:val="00BC44A8"/>
    <w:rsid w:val="00BC51ED"/>
    <w:rsid w:val="00BC562E"/>
    <w:rsid w:val="00BC58ED"/>
    <w:rsid w:val="00BC5983"/>
    <w:rsid w:val="00BC5B27"/>
    <w:rsid w:val="00BC645C"/>
    <w:rsid w:val="00BD1846"/>
    <w:rsid w:val="00BD1FD4"/>
    <w:rsid w:val="00BD21E6"/>
    <w:rsid w:val="00BD315F"/>
    <w:rsid w:val="00BD3C26"/>
    <w:rsid w:val="00BD48CD"/>
    <w:rsid w:val="00BD5FE5"/>
    <w:rsid w:val="00BD6CF0"/>
    <w:rsid w:val="00BD6FB8"/>
    <w:rsid w:val="00BD6FDA"/>
    <w:rsid w:val="00BE027B"/>
    <w:rsid w:val="00BE0A15"/>
    <w:rsid w:val="00BE16D5"/>
    <w:rsid w:val="00BE3940"/>
    <w:rsid w:val="00BE5ED3"/>
    <w:rsid w:val="00BE6CC5"/>
    <w:rsid w:val="00BE7B4E"/>
    <w:rsid w:val="00BF0168"/>
    <w:rsid w:val="00BF0793"/>
    <w:rsid w:val="00BF07B0"/>
    <w:rsid w:val="00BF20A2"/>
    <w:rsid w:val="00BF3044"/>
    <w:rsid w:val="00BF44A9"/>
    <w:rsid w:val="00BF4C91"/>
    <w:rsid w:val="00BF6E24"/>
    <w:rsid w:val="00BF70E7"/>
    <w:rsid w:val="00BF78AE"/>
    <w:rsid w:val="00C00500"/>
    <w:rsid w:val="00C00A9E"/>
    <w:rsid w:val="00C00EE7"/>
    <w:rsid w:val="00C014CC"/>
    <w:rsid w:val="00C02E5A"/>
    <w:rsid w:val="00C02F9C"/>
    <w:rsid w:val="00C03030"/>
    <w:rsid w:val="00C030A2"/>
    <w:rsid w:val="00C03881"/>
    <w:rsid w:val="00C03CB9"/>
    <w:rsid w:val="00C04291"/>
    <w:rsid w:val="00C04643"/>
    <w:rsid w:val="00C05FF5"/>
    <w:rsid w:val="00C066CC"/>
    <w:rsid w:val="00C1004A"/>
    <w:rsid w:val="00C1043F"/>
    <w:rsid w:val="00C12336"/>
    <w:rsid w:val="00C1303F"/>
    <w:rsid w:val="00C13138"/>
    <w:rsid w:val="00C131ED"/>
    <w:rsid w:val="00C13A7F"/>
    <w:rsid w:val="00C13B5B"/>
    <w:rsid w:val="00C14D11"/>
    <w:rsid w:val="00C15752"/>
    <w:rsid w:val="00C15F96"/>
    <w:rsid w:val="00C17236"/>
    <w:rsid w:val="00C17BE3"/>
    <w:rsid w:val="00C207A2"/>
    <w:rsid w:val="00C2081E"/>
    <w:rsid w:val="00C21A3A"/>
    <w:rsid w:val="00C22046"/>
    <w:rsid w:val="00C224F9"/>
    <w:rsid w:val="00C229D8"/>
    <w:rsid w:val="00C22BEE"/>
    <w:rsid w:val="00C23AAB"/>
    <w:rsid w:val="00C26364"/>
    <w:rsid w:val="00C30DBF"/>
    <w:rsid w:val="00C3221C"/>
    <w:rsid w:val="00C32CC1"/>
    <w:rsid w:val="00C33417"/>
    <w:rsid w:val="00C33928"/>
    <w:rsid w:val="00C35144"/>
    <w:rsid w:val="00C3784A"/>
    <w:rsid w:val="00C41796"/>
    <w:rsid w:val="00C417BB"/>
    <w:rsid w:val="00C42198"/>
    <w:rsid w:val="00C42971"/>
    <w:rsid w:val="00C43E98"/>
    <w:rsid w:val="00C460CC"/>
    <w:rsid w:val="00C46370"/>
    <w:rsid w:val="00C463A2"/>
    <w:rsid w:val="00C46A21"/>
    <w:rsid w:val="00C46E3D"/>
    <w:rsid w:val="00C474DD"/>
    <w:rsid w:val="00C47AA8"/>
    <w:rsid w:val="00C50A09"/>
    <w:rsid w:val="00C50E39"/>
    <w:rsid w:val="00C51142"/>
    <w:rsid w:val="00C53313"/>
    <w:rsid w:val="00C57283"/>
    <w:rsid w:val="00C577BF"/>
    <w:rsid w:val="00C57E1E"/>
    <w:rsid w:val="00C6087D"/>
    <w:rsid w:val="00C618C6"/>
    <w:rsid w:val="00C61BD9"/>
    <w:rsid w:val="00C622CA"/>
    <w:rsid w:val="00C6264E"/>
    <w:rsid w:val="00C62C62"/>
    <w:rsid w:val="00C635F3"/>
    <w:rsid w:val="00C63805"/>
    <w:rsid w:val="00C64282"/>
    <w:rsid w:val="00C644AA"/>
    <w:rsid w:val="00C65CDF"/>
    <w:rsid w:val="00C70709"/>
    <w:rsid w:val="00C70A2C"/>
    <w:rsid w:val="00C72606"/>
    <w:rsid w:val="00C73951"/>
    <w:rsid w:val="00C73CBB"/>
    <w:rsid w:val="00C75D0C"/>
    <w:rsid w:val="00C760D7"/>
    <w:rsid w:val="00C809E0"/>
    <w:rsid w:val="00C81E12"/>
    <w:rsid w:val="00C82DAA"/>
    <w:rsid w:val="00C8478C"/>
    <w:rsid w:val="00C85C17"/>
    <w:rsid w:val="00C86ABA"/>
    <w:rsid w:val="00C90623"/>
    <w:rsid w:val="00C90C44"/>
    <w:rsid w:val="00C929E6"/>
    <w:rsid w:val="00C943F3"/>
    <w:rsid w:val="00C94A39"/>
    <w:rsid w:val="00C94A47"/>
    <w:rsid w:val="00C9586D"/>
    <w:rsid w:val="00C964F4"/>
    <w:rsid w:val="00C96D12"/>
    <w:rsid w:val="00C96D69"/>
    <w:rsid w:val="00C975F4"/>
    <w:rsid w:val="00CA000F"/>
    <w:rsid w:val="00CA1403"/>
    <w:rsid w:val="00CA14EB"/>
    <w:rsid w:val="00CA1515"/>
    <w:rsid w:val="00CA2204"/>
    <w:rsid w:val="00CA3955"/>
    <w:rsid w:val="00CA3A47"/>
    <w:rsid w:val="00CA409A"/>
    <w:rsid w:val="00CA48AE"/>
    <w:rsid w:val="00CA4A43"/>
    <w:rsid w:val="00CA5D84"/>
    <w:rsid w:val="00CB0090"/>
    <w:rsid w:val="00CB014A"/>
    <w:rsid w:val="00CB2212"/>
    <w:rsid w:val="00CB428C"/>
    <w:rsid w:val="00CB4AFF"/>
    <w:rsid w:val="00CB5F47"/>
    <w:rsid w:val="00CB62A5"/>
    <w:rsid w:val="00CB640B"/>
    <w:rsid w:val="00CC079A"/>
    <w:rsid w:val="00CC1CE3"/>
    <w:rsid w:val="00CC2235"/>
    <w:rsid w:val="00CC2B72"/>
    <w:rsid w:val="00CC3045"/>
    <w:rsid w:val="00CC35C7"/>
    <w:rsid w:val="00CC5BE1"/>
    <w:rsid w:val="00CC5EE2"/>
    <w:rsid w:val="00CC7CC3"/>
    <w:rsid w:val="00CC7E9E"/>
    <w:rsid w:val="00CD00D3"/>
    <w:rsid w:val="00CD11B6"/>
    <w:rsid w:val="00CD18F8"/>
    <w:rsid w:val="00CD4BAE"/>
    <w:rsid w:val="00CD4C44"/>
    <w:rsid w:val="00CE116E"/>
    <w:rsid w:val="00CE1559"/>
    <w:rsid w:val="00CE1C1F"/>
    <w:rsid w:val="00CE2F04"/>
    <w:rsid w:val="00CE326D"/>
    <w:rsid w:val="00CE362D"/>
    <w:rsid w:val="00CE3A58"/>
    <w:rsid w:val="00CE3C2C"/>
    <w:rsid w:val="00CE5624"/>
    <w:rsid w:val="00CE6233"/>
    <w:rsid w:val="00CE7184"/>
    <w:rsid w:val="00CE734F"/>
    <w:rsid w:val="00CE7CF5"/>
    <w:rsid w:val="00CF08A8"/>
    <w:rsid w:val="00CF0DCC"/>
    <w:rsid w:val="00CF0FBD"/>
    <w:rsid w:val="00CF1813"/>
    <w:rsid w:val="00CF2E90"/>
    <w:rsid w:val="00CF4970"/>
    <w:rsid w:val="00CF502F"/>
    <w:rsid w:val="00CF50DD"/>
    <w:rsid w:val="00CF534D"/>
    <w:rsid w:val="00CF5E60"/>
    <w:rsid w:val="00D01C62"/>
    <w:rsid w:val="00D02898"/>
    <w:rsid w:val="00D02991"/>
    <w:rsid w:val="00D032A9"/>
    <w:rsid w:val="00D037A8"/>
    <w:rsid w:val="00D0426D"/>
    <w:rsid w:val="00D04709"/>
    <w:rsid w:val="00D05934"/>
    <w:rsid w:val="00D05C73"/>
    <w:rsid w:val="00D10CD4"/>
    <w:rsid w:val="00D11F3E"/>
    <w:rsid w:val="00D140C6"/>
    <w:rsid w:val="00D1436F"/>
    <w:rsid w:val="00D143AB"/>
    <w:rsid w:val="00D17272"/>
    <w:rsid w:val="00D21751"/>
    <w:rsid w:val="00D21853"/>
    <w:rsid w:val="00D22D0E"/>
    <w:rsid w:val="00D2323C"/>
    <w:rsid w:val="00D23F62"/>
    <w:rsid w:val="00D24B29"/>
    <w:rsid w:val="00D3042F"/>
    <w:rsid w:val="00D3149C"/>
    <w:rsid w:val="00D31727"/>
    <w:rsid w:val="00D32CB8"/>
    <w:rsid w:val="00D32FC8"/>
    <w:rsid w:val="00D32FED"/>
    <w:rsid w:val="00D33FFC"/>
    <w:rsid w:val="00D34964"/>
    <w:rsid w:val="00D35A1B"/>
    <w:rsid w:val="00D37A02"/>
    <w:rsid w:val="00D37E24"/>
    <w:rsid w:val="00D37EF2"/>
    <w:rsid w:val="00D41059"/>
    <w:rsid w:val="00D410A1"/>
    <w:rsid w:val="00D463E7"/>
    <w:rsid w:val="00D46C81"/>
    <w:rsid w:val="00D47868"/>
    <w:rsid w:val="00D50677"/>
    <w:rsid w:val="00D507E3"/>
    <w:rsid w:val="00D51EA8"/>
    <w:rsid w:val="00D5240F"/>
    <w:rsid w:val="00D5245F"/>
    <w:rsid w:val="00D52957"/>
    <w:rsid w:val="00D54477"/>
    <w:rsid w:val="00D54F8B"/>
    <w:rsid w:val="00D55EF9"/>
    <w:rsid w:val="00D55FC1"/>
    <w:rsid w:val="00D56BD3"/>
    <w:rsid w:val="00D62448"/>
    <w:rsid w:val="00D63043"/>
    <w:rsid w:val="00D635E4"/>
    <w:rsid w:val="00D63856"/>
    <w:rsid w:val="00D63A23"/>
    <w:rsid w:val="00D64648"/>
    <w:rsid w:val="00D65142"/>
    <w:rsid w:val="00D653A0"/>
    <w:rsid w:val="00D65546"/>
    <w:rsid w:val="00D659B3"/>
    <w:rsid w:val="00D65C65"/>
    <w:rsid w:val="00D677CA"/>
    <w:rsid w:val="00D679CE"/>
    <w:rsid w:val="00D72446"/>
    <w:rsid w:val="00D729BC"/>
    <w:rsid w:val="00D72DDB"/>
    <w:rsid w:val="00D7342A"/>
    <w:rsid w:val="00D748AD"/>
    <w:rsid w:val="00D750DC"/>
    <w:rsid w:val="00D76309"/>
    <w:rsid w:val="00D77C65"/>
    <w:rsid w:val="00D77D07"/>
    <w:rsid w:val="00D77D08"/>
    <w:rsid w:val="00D8022D"/>
    <w:rsid w:val="00D80556"/>
    <w:rsid w:val="00D8121D"/>
    <w:rsid w:val="00D81336"/>
    <w:rsid w:val="00D8223A"/>
    <w:rsid w:val="00D82855"/>
    <w:rsid w:val="00D830C5"/>
    <w:rsid w:val="00D84BF8"/>
    <w:rsid w:val="00D85440"/>
    <w:rsid w:val="00D86F50"/>
    <w:rsid w:val="00D87241"/>
    <w:rsid w:val="00D90F7C"/>
    <w:rsid w:val="00D913C4"/>
    <w:rsid w:val="00D92ECE"/>
    <w:rsid w:val="00D9581C"/>
    <w:rsid w:val="00D95B2A"/>
    <w:rsid w:val="00D96434"/>
    <w:rsid w:val="00D9676D"/>
    <w:rsid w:val="00D96F7F"/>
    <w:rsid w:val="00D9754B"/>
    <w:rsid w:val="00DA06FC"/>
    <w:rsid w:val="00DA4381"/>
    <w:rsid w:val="00DA466A"/>
    <w:rsid w:val="00DA7AB8"/>
    <w:rsid w:val="00DB02B8"/>
    <w:rsid w:val="00DB06CF"/>
    <w:rsid w:val="00DB0A4A"/>
    <w:rsid w:val="00DB28AA"/>
    <w:rsid w:val="00DB44AC"/>
    <w:rsid w:val="00DB63CF"/>
    <w:rsid w:val="00DB7B36"/>
    <w:rsid w:val="00DB7BD1"/>
    <w:rsid w:val="00DC02FC"/>
    <w:rsid w:val="00DC0570"/>
    <w:rsid w:val="00DC149E"/>
    <w:rsid w:val="00DC17BC"/>
    <w:rsid w:val="00DC2419"/>
    <w:rsid w:val="00DC2937"/>
    <w:rsid w:val="00DC30ED"/>
    <w:rsid w:val="00DC5714"/>
    <w:rsid w:val="00DC5B17"/>
    <w:rsid w:val="00DC6CBB"/>
    <w:rsid w:val="00DC75C2"/>
    <w:rsid w:val="00DD193D"/>
    <w:rsid w:val="00DD3303"/>
    <w:rsid w:val="00DD3874"/>
    <w:rsid w:val="00DD4A27"/>
    <w:rsid w:val="00DD58F6"/>
    <w:rsid w:val="00DD5C39"/>
    <w:rsid w:val="00DD5EA4"/>
    <w:rsid w:val="00DD6202"/>
    <w:rsid w:val="00DD731B"/>
    <w:rsid w:val="00DE17DD"/>
    <w:rsid w:val="00DE1D24"/>
    <w:rsid w:val="00DE30BC"/>
    <w:rsid w:val="00DE62B6"/>
    <w:rsid w:val="00DE6B3B"/>
    <w:rsid w:val="00DE7F3A"/>
    <w:rsid w:val="00DF0D7A"/>
    <w:rsid w:val="00DF1235"/>
    <w:rsid w:val="00DF5246"/>
    <w:rsid w:val="00DF6324"/>
    <w:rsid w:val="00DF6B82"/>
    <w:rsid w:val="00E003F2"/>
    <w:rsid w:val="00E01241"/>
    <w:rsid w:val="00E02259"/>
    <w:rsid w:val="00E02358"/>
    <w:rsid w:val="00E0269C"/>
    <w:rsid w:val="00E02A4A"/>
    <w:rsid w:val="00E03192"/>
    <w:rsid w:val="00E04E1F"/>
    <w:rsid w:val="00E069D4"/>
    <w:rsid w:val="00E06FED"/>
    <w:rsid w:val="00E071B2"/>
    <w:rsid w:val="00E07303"/>
    <w:rsid w:val="00E07706"/>
    <w:rsid w:val="00E10491"/>
    <w:rsid w:val="00E109E4"/>
    <w:rsid w:val="00E10F89"/>
    <w:rsid w:val="00E118B4"/>
    <w:rsid w:val="00E12B49"/>
    <w:rsid w:val="00E131CE"/>
    <w:rsid w:val="00E14459"/>
    <w:rsid w:val="00E148E9"/>
    <w:rsid w:val="00E14E34"/>
    <w:rsid w:val="00E157F1"/>
    <w:rsid w:val="00E16CF0"/>
    <w:rsid w:val="00E17113"/>
    <w:rsid w:val="00E202E6"/>
    <w:rsid w:val="00E21684"/>
    <w:rsid w:val="00E21974"/>
    <w:rsid w:val="00E219F6"/>
    <w:rsid w:val="00E21D44"/>
    <w:rsid w:val="00E224A1"/>
    <w:rsid w:val="00E23F89"/>
    <w:rsid w:val="00E24439"/>
    <w:rsid w:val="00E24BD7"/>
    <w:rsid w:val="00E24F35"/>
    <w:rsid w:val="00E25328"/>
    <w:rsid w:val="00E26F5E"/>
    <w:rsid w:val="00E27DA5"/>
    <w:rsid w:val="00E27E7A"/>
    <w:rsid w:val="00E30059"/>
    <w:rsid w:val="00E31A3D"/>
    <w:rsid w:val="00E31BE5"/>
    <w:rsid w:val="00E327B0"/>
    <w:rsid w:val="00E3344A"/>
    <w:rsid w:val="00E3362A"/>
    <w:rsid w:val="00E34DE9"/>
    <w:rsid w:val="00E34E9C"/>
    <w:rsid w:val="00E34F22"/>
    <w:rsid w:val="00E350B1"/>
    <w:rsid w:val="00E3603F"/>
    <w:rsid w:val="00E3705C"/>
    <w:rsid w:val="00E373CB"/>
    <w:rsid w:val="00E40A36"/>
    <w:rsid w:val="00E40CF6"/>
    <w:rsid w:val="00E41107"/>
    <w:rsid w:val="00E42403"/>
    <w:rsid w:val="00E43B72"/>
    <w:rsid w:val="00E43B78"/>
    <w:rsid w:val="00E43ED4"/>
    <w:rsid w:val="00E46773"/>
    <w:rsid w:val="00E478B8"/>
    <w:rsid w:val="00E50116"/>
    <w:rsid w:val="00E51211"/>
    <w:rsid w:val="00E51816"/>
    <w:rsid w:val="00E51DE0"/>
    <w:rsid w:val="00E5259B"/>
    <w:rsid w:val="00E53724"/>
    <w:rsid w:val="00E54B0B"/>
    <w:rsid w:val="00E554AC"/>
    <w:rsid w:val="00E562A8"/>
    <w:rsid w:val="00E56E5F"/>
    <w:rsid w:val="00E62480"/>
    <w:rsid w:val="00E62792"/>
    <w:rsid w:val="00E62DAD"/>
    <w:rsid w:val="00E63300"/>
    <w:rsid w:val="00E63F06"/>
    <w:rsid w:val="00E64EBD"/>
    <w:rsid w:val="00E66522"/>
    <w:rsid w:val="00E6679C"/>
    <w:rsid w:val="00E670F4"/>
    <w:rsid w:val="00E712FC"/>
    <w:rsid w:val="00E71483"/>
    <w:rsid w:val="00E71978"/>
    <w:rsid w:val="00E71DD5"/>
    <w:rsid w:val="00E72BA3"/>
    <w:rsid w:val="00E72C5A"/>
    <w:rsid w:val="00E72C78"/>
    <w:rsid w:val="00E73209"/>
    <w:rsid w:val="00E742E1"/>
    <w:rsid w:val="00E74539"/>
    <w:rsid w:val="00E75B11"/>
    <w:rsid w:val="00E805E7"/>
    <w:rsid w:val="00E83475"/>
    <w:rsid w:val="00E83B23"/>
    <w:rsid w:val="00E84A55"/>
    <w:rsid w:val="00E84B17"/>
    <w:rsid w:val="00E84D0D"/>
    <w:rsid w:val="00E84D8B"/>
    <w:rsid w:val="00E854A7"/>
    <w:rsid w:val="00E85855"/>
    <w:rsid w:val="00E86E86"/>
    <w:rsid w:val="00E87D75"/>
    <w:rsid w:val="00E90331"/>
    <w:rsid w:val="00E903E1"/>
    <w:rsid w:val="00E92A6B"/>
    <w:rsid w:val="00E946C0"/>
    <w:rsid w:val="00E9472A"/>
    <w:rsid w:val="00E947A1"/>
    <w:rsid w:val="00E94A3B"/>
    <w:rsid w:val="00E966A9"/>
    <w:rsid w:val="00E96DE5"/>
    <w:rsid w:val="00E96F2E"/>
    <w:rsid w:val="00E971C4"/>
    <w:rsid w:val="00E97483"/>
    <w:rsid w:val="00EA267C"/>
    <w:rsid w:val="00EA482F"/>
    <w:rsid w:val="00EA4AD5"/>
    <w:rsid w:val="00EA50DB"/>
    <w:rsid w:val="00EA5E8F"/>
    <w:rsid w:val="00EA7415"/>
    <w:rsid w:val="00EA7627"/>
    <w:rsid w:val="00EA7661"/>
    <w:rsid w:val="00EB2CFC"/>
    <w:rsid w:val="00EB3335"/>
    <w:rsid w:val="00EB3639"/>
    <w:rsid w:val="00EB4480"/>
    <w:rsid w:val="00EB4EF2"/>
    <w:rsid w:val="00EB5502"/>
    <w:rsid w:val="00EB59A9"/>
    <w:rsid w:val="00EB66F3"/>
    <w:rsid w:val="00EB6778"/>
    <w:rsid w:val="00EB6E5C"/>
    <w:rsid w:val="00EB7514"/>
    <w:rsid w:val="00EC03A2"/>
    <w:rsid w:val="00EC0797"/>
    <w:rsid w:val="00EC1A82"/>
    <w:rsid w:val="00EC1ECD"/>
    <w:rsid w:val="00EC1EE2"/>
    <w:rsid w:val="00EC323E"/>
    <w:rsid w:val="00EC342A"/>
    <w:rsid w:val="00EC3BBD"/>
    <w:rsid w:val="00EC4878"/>
    <w:rsid w:val="00EC717A"/>
    <w:rsid w:val="00ED08A7"/>
    <w:rsid w:val="00ED1891"/>
    <w:rsid w:val="00ED243F"/>
    <w:rsid w:val="00ED3735"/>
    <w:rsid w:val="00ED45D3"/>
    <w:rsid w:val="00ED464C"/>
    <w:rsid w:val="00ED5C48"/>
    <w:rsid w:val="00ED66C1"/>
    <w:rsid w:val="00ED77E2"/>
    <w:rsid w:val="00ED7D67"/>
    <w:rsid w:val="00ED7EC5"/>
    <w:rsid w:val="00EE251A"/>
    <w:rsid w:val="00EE2666"/>
    <w:rsid w:val="00EE2D53"/>
    <w:rsid w:val="00EE3196"/>
    <w:rsid w:val="00EE4DA9"/>
    <w:rsid w:val="00EE5CB4"/>
    <w:rsid w:val="00EE620F"/>
    <w:rsid w:val="00EE67B9"/>
    <w:rsid w:val="00EE6CCF"/>
    <w:rsid w:val="00EF0BA6"/>
    <w:rsid w:val="00EF160B"/>
    <w:rsid w:val="00EF1613"/>
    <w:rsid w:val="00EF23E4"/>
    <w:rsid w:val="00EF622C"/>
    <w:rsid w:val="00EF67A1"/>
    <w:rsid w:val="00EF6B23"/>
    <w:rsid w:val="00EF6E2D"/>
    <w:rsid w:val="00EF726C"/>
    <w:rsid w:val="00EF74DA"/>
    <w:rsid w:val="00EF7EEB"/>
    <w:rsid w:val="00F01D51"/>
    <w:rsid w:val="00F02393"/>
    <w:rsid w:val="00F0298E"/>
    <w:rsid w:val="00F03113"/>
    <w:rsid w:val="00F058F1"/>
    <w:rsid w:val="00F10197"/>
    <w:rsid w:val="00F110C4"/>
    <w:rsid w:val="00F11116"/>
    <w:rsid w:val="00F12DF8"/>
    <w:rsid w:val="00F1350D"/>
    <w:rsid w:val="00F13AED"/>
    <w:rsid w:val="00F147A3"/>
    <w:rsid w:val="00F15DA0"/>
    <w:rsid w:val="00F20382"/>
    <w:rsid w:val="00F20F0D"/>
    <w:rsid w:val="00F22954"/>
    <w:rsid w:val="00F235F0"/>
    <w:rsid w:val="00F23F68"/>
    <w:rsid w:val="00F26006"/>
    <w:rsid w:val="00F27678"/>
    <w:rsid w:val="00F27E3F"/>
    <w:rsid w:val="00F315DC"/>
    <w:rsid w:val="00F327A9"/>
    <w:rsid w:val="00F32F92"/>
    <w:rsid w:val="00F34108"/>
    <w:rsid w:val="00F34D90"/>
    <w:rsid w:val="00F35074"/>
    <w:rsid w:val="00F35B46"/>
    <w:rsid w:val="00F3797D"/>
    <w:rsid w:val="00F40984"/>
    <w:rsid w:val="00F41B90"/>
    <w:rsid w:val="00F42B88"/>
    <w:rsid w:val="00F441B0"/>
    <w:rsid w:val="00F44BBC"/>
    <w:rsid w:val="00F4556A"/>
    <w:rsid w:val="00F45DA4"/>
    <w:rsid w:val="00F505E5"/>
    <w:rsid w:val="00F5114D"/>
    <w:rsid w:val="00F512CD"/>
    <w:rsid w:val="00F550F7"/>
    <w:rsid w:val="00F5558D"/>
    <w:rsid w:val="00F57CC4"/>
    <w:rsid w:val="00F57D96"/>
    <w:rsid w:val="00F57DB2"/>
    <w:rsid w:val="00F600E7"/>
    <w:rsid w:val="00F60403"/>
    <w:rsid w:val="00F60A25"/>
    <w:rsid w:val="00F60EAB"/>
    <w:rsid w:val="00F612F0"/>
    <w:rsid w:val="00F62B71"/>
    <w:rsid w:val="00F63A11"/>
    <w:rsid w:val="00F63E57"/>
    <w:rsid w:val="00F642F3"/>
    <w:rsid w:val="00F64B03"/>
    <w:rsid w:val="00F65D2A"/>
    <w:rsid w:val="00F66109"/>
    <w:rsid w:val="00F66C3F"/>
    <w:rsid w:val="00F66EF2"/>
    <w:rsid w:val="00F67114"/>
    <w:rsid w:val="00F70D8B"/>
    <w:rsid w:val="00F72151"/>
    <w:rsid w:val="00F7242A"/>
    <w:rsid w:val="00F73F14"/>
    <w:rsid w:val="00F745D6"/>
    <w:rsid w:val="00F74CF1"/>
    <w:rsid w:val="00F773AF"/>
    <w:rsid w:val="00F77783"/>
    <w:rsid w:val="00F80D19"/>
    <w:rsid w:val="00F8158F"/>
    <w:rsid w:val="00F81A95"/>
    <w:rsid w:val="00F81F07"/>
    <w:rsid w:val="00F828D0"/>
    <w:rsid w:val="00F8579D"/>
    <w:rsid w:val="00F9024D"/>
    <w:rsid w:val="00F90362"/>
    <w:rsid w:val="00F90B87"/>
    <w:rsid w:val="00F9303B"/>
    <w:rsid w:val="00F9532B"/>
    <w:rsid w:val="00F9538E"/>
    <w:rsid w:val="00F96F88"/>
    <w:rsid w:val="00F97307"/>
    <w:rsid w:val="00FA075A"/>
    <w:rsid w:val="00FA0E73"/>
    <w:rsid w:val="00FA1CD0"/>
    <w:rsid w:val="00FA1E97"/>
    <w:rsid w:val="00FA2566"/>
    <w:rsid w:val="00FA2D32"/>
    <w:rsid w:val="00FA2E97"/>
    <w:rsid w:val="00FA4108"/>
    <w:rsid w:val="00FA51C3"/>
    <w:rsid w:val="00FA5636"/>
    <w:rsid w:val="00FA62CB"/>
    <w:rsid w:val="00FA66E9"/>
    <w:rsid w:val="00FA6D21"/>
    <w:rsid w:val="00FB0431"/>
    <w:rsid w:val="00FB12DA"/>
    <w:rsid w:val="00FB1490"/>
    <w:rsid w:val="00FB15EE"/>
    <w:rsid w:val="00FB1B75"/>
    <w:rsid w:val="00FB1FA3"/>
    <w:rsid w:val="00FB2D53"/>
    <w:rsid w:val="00FB3326"/>
    <w:rsid w:val="00FB48C7"/>
    <w:rsid w:val="00FB6DF2"/>
    <w:rsid w:val="00FB725B"/>
    <w:rsid w:val="00FB7B2E"/>
    <w:rsid w:val="00FC01E3"/>
    <w:rsid w:val="00FC04FB"/>
    <w:rsid w:val="00FC17F3"/>
    <w:rsid w:val="00FC2E4F"/>
    <w:rsid w:val="00FC3107"/>
    <w:rsid w:val="00FC456B"/>
    <w:rsid w:val="00FC47D6"/>
    <w:rsid w:val="00FC4C82"/>
    <w:rsid w:val="00FC5460"/>
    <w:rsid w:val="00FC5B2A"/>
    <w:rsid w:val="00FC661A"/>
    <w:rsid w:val="00FC760E"/>
    <w:rsid w:val="00FD0F5D"/>
    <w:rsid w:val="00FD13B9"/>
    <w:rsid w:val="00FD140D"/>
    <w:rsid w:val="00FD386D"/>
    <w:rsid w:val="00FD592E"/>
    <w:rsid w:val="00FD6930"/>
    <w:rsid w:val="00FE24F9"/>
    <w:rsid w:val="00FE653A"/>
    <w:rsid w:val="00FE6A41"/>
    <w:rsid w:val="00FE75F9"/>
    <w:rsid w:val="00FE7CF9"/>
    <w:rsid w:val="00FF07BF"/>
    <w:rsid w:val="00FF07EE"/>
    <w:rsid w:val="00FF0B54"/>
    <w:rsid w:val="00FF1ACA"/>
    <w:rsid w:val="00FF1B5F"/>
    <w:rsid w:val="00FF20A7"/>
    <w:rsid w:val="00FF233C"/>
    <w:rsid w:val="00FF263C"/>
    <w:rsid w:val="00FF2E4E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9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A721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4">
    <w:name w:val="Emphasis"/>
    <w:basedOn w:val="a0"/>
    <w:qFormat/>
    <w:rsid w:val="005623BF"/>
    <w:rPr>
      <w:i/>
      <w:iCs/>
    </w:rPr>
  </w:style>
  <w:style w:type="table" w:styleId="-2">
    <w:name w:val="Table List 2"/>
    <w:basedOn w:val="a1"/>
    <w:rsid w:val="001C7E21"/>
    <w:pPr>
      <w:overflowPunct w:val="0"/>
      <w:autoSpaceDE w:val="0"/>
      <w:autoSpaceDN w:val="0"/>
      <w:adjustRightInd w:val="0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Contemporary"/>
    <w:basedOn w:val="a1"/>
    <w:rsid w:val="00F44BBC"/>
    <w:pPr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6">
    <w:name w:val="Balloon Text"/>
    <w:basedOn w:val="a"/>
    <w:link w:val="a7"/>
    <w:rsid w:val="008A5D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5D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041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1EB"/>
    <w:rPr>
      <w:sz w:val="24"/>
    </w:rPr>
  </w:style>
  <w:style w:type="paragraph" w:styleId="aa">
    <w:name w:val="footer"/>
    <w:basedOn w:val="a"/>
    <w:link w:val="ab"/>
    <w:rsid w:val="007041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41EB"/>
    <w:rPr>
      <w:sz w:val="24"/>
    </w:rPr>
  </w:style>
  <w:style w:type="paragraph" w:styleId="ac">
    <w:name w:val="List Paragraph"/>
    <w:basedOn w:val="a"/>
    <w:uiPriority w:val="34"/>
    <w:qFormat/>
    <w:rsid w:val="00BA1E18"/>
    <w:pPr>
      <w:ind w:left="708"/>
    </w:pPr>
  </w:style>
  <w:style w:type="character" w:customStyle="1" w:styleId="30">
    <w:name w:val="Заголовок 3 Знак"/>
    <w:basedOn w:val="a0"/>
    <w:link w:val="3"/>
    <w:rsid w:val="00B7310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4086933141347019"/>
          <c:y val="0.15189754366164759"/>
          <c:w val="0.62763915547024962"/>
          <c:h val="0.7518796992481553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 январю 2017</c:v>
                </c:pt>
              </c:strCache>
            </c:strRef>
          </c:tx>
          <c:spPr>
            <a:gradFill rotWithShape="0">
              <a:gsLst>
                <a:gs pos="0">
                  <a:srgbClr val="FFFF00">
                    <a:gamma/>
                    <a:shade val="46275"/>
                    <a:invGamma/>
                  </a:srgbClr>
                </a:gs>
                <a:gs pos="5000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8">
              <a:solidFill>
                <a:srgbClr val="000000"/>
              </a:solidFill>
              <a:prstDash val="solid"/>
            </a:ln>
          </c:spPr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Sheet1!$B$1:$D$1</c:f>
              <c:strCache>
                <c:ptCount val="3"/>
                <c:pt idx="0">
                  <c:v>продовольственные товары</c:v>
                </c:pt>
                <c:pt idx="1">
                  <c:v>непродовольственные товары</c:v>
                </c:pt>
                <c:pt idx="2">
                  <c:v>платные услуги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 formatCode="#,##0.00">
                  <c:v>2.0000000000000014E-2</c:v>
                </c:pt>
                <c:pt idx="1">
                  <c:v>2.5</c:v>
                </c:pt>
                <c:pt idx="2">
                  <c:v>6.1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 декабрю 2017 года</c:v>
                </c:pt>
              </c:strCache>
            </c:strRef>
          </c:tx>
          <c:spPr>
            <a:gradFill rotWithShape="0">
              <a:gsLst>
                <a:gs pos="0">
                  <a:srgbClr val="99CC00">
                    <a:gamma/>
                    <a:shade val="46275"/>
                    <a:invGamma/>
                  </a:srgbClr>
                </a:gs>
                <a:gs pos="5000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8">
              <a:solidFill>
                <a:srgbClr val="000000"/>
              </a:solidFill>
              <a:prstDash val="solid"/>
            </a:ln>
          </c:spPr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Sheet1!$B$1:$D$1</c:f>
              <c:strCache>
                <c:ptCount val="3"/>
                <c:pt idx="0">
                  <c:v>продовольственные товары</c:v>
                </c:pt>
                <c:pt idx="1">
                  <c:v>непродовольственные товары</c:v>
                </c:pt>
                <c:pt idx="2">
                  <c:v>платные услуги</c:v>
                </c:pt>
              </c:strCache>
            </c:strRef>
          </c:cat>
          <c:val>
            <c:numRef>
              <c:f>Sheet1!$B$3:$D$3</c:f>
              <c:numCache>
                <c:formatCode>#,##0.0</c:formatCode>
                <c:ptCount val="3"/>
                <c:pt idx="0">
                  <c:v>0.60000000000000031</c:v>
                </c:pt>
                <c:pt idx="1">
                  <c:v>0.4</c:v>
                </c:pt>
                <c:pt idx="2">
                  <c:v>0.5</c:v>
                </c:pt>
              </c:numCache>
            </c:numRef>
          </c:val>
        </c:ser>
        <c:dLbls>
          <c:showVal val="1"/>
        </c:dLbls>
        <c:gapWidth val="122"/>
        <c:overlap val="-4"/>
        <c:axId val="135859200"/>
        <c:axId val="135873280"/>
      </c:barChart>
      <c:catAx>
        <c:axId val="1358592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873280"/>
        <c:crosses val="autoZero"/>
        <c:auto val="1"/>
        <c:lblAlgn val="ctr"/>
        <c:lblOffset val="1000"/>
        <c:tickLblSkip val="1"/>
        <c:tickMarkSkip val="1"/>
      </c:catAx>
      <c:valAx>
        <c:axId val="135873280"/>
        <c:scaling>
          <c:orientation val="minMax"/>
          <c:max val="7"/>
          <c:min val="-5"/>
        </c:scaling>
        <c:delete val="1"/>
        <c:axPos val="b"/>
        <c:numFmt formatCode="#,##0.00" sourceLinked="1"/>
        <c:tickLblPos val="none"/>
        <c:crossAx val="13585920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15179054196102204"/>
          <c:y val="0.91850691424936359"/>
          <c:w val="0.74280230326295549"/>
          <c:h val="6.2656641604010133E-2"/>
        </c:manualLayout>
      </c:layout>
      <c:spPr>
        <a:noFill/>
        <a:ln w="25396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296296296296708"/>
          <c:y val="3.8901601830663615E-2"/>
          <c:w val="0.67962962962966456"/>
          <c:h val="0.83981693363846055"/>
        </c:manualLayout>
      </c:layout>
      <c:radarChart>
        <c:radarStyle val="marker"/>
        <c:ser>
          <c:idx val="2"/>
          <c:order val="0"/>
          <c:tx>
            <c:strRef>
              <c:f>Sheet1!$A$4</c:f>
              <c:strCache>
                <c:ptCount val="1"/>
                <c:pt idx="0">
                  <c:v>2018 год</c:v>
                </c:pt>
              </c:strCache>
            </c:strRef>
          </c:tx>
          <c:spPr>
            <a:ln w="12683">
              <a:solidFill>
                <a:srgbClr val="FF00FF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FF00FF"/>
                </a:solidFill>
                <a:ln>
                  <a:noFill/>
                  <a:prstDash val="solid"/>
                </a:ln>
              </c:spPr>
            </c:marker>
            <c:spPr>
              <a:ln w="12683">
                <a:noFill/>
                <a:prstDash val="solid"/>
              </a:ln>
            </c:spPr>
          </c:dPt>
          <c:dLbls>
            <c:dLbl>
              <c:idx val="0"/>
              <c:layout>
                <c:manualLayout>
                  <c:x val="-2.6490217331418691E-2"/>
                  <c:y val="7.7715479574170812E-2"/>
                </c:manualLayout>
              </c:layout>
              <c:showVal val="1"/>
            </c:dLbl>
            <c:dLbl>
              <c:idx val="1"/>
              <c:layout>
                <c:manualLayout>
                  <c:x val="-1.244059608827966E-2"/>
                  <c:y val="5.8841501955112813E-2"/>
                </c:manualLayout>
              </c:layout>
              <c:showVal val="1"/>
            </c:dLbl>
            <c:dLbl>
              <c:idx val="2"/>
              <c:layout>
                <c:manualLayout>
                  <c:x val="-3.2850978545115581E-2"/>
                  <c:y val="3.9605218252357216E-2"/>
                </c:manualLayout>
              </c:layout>
              <c:showVal val="1"/>
            </c:dLbl>
            <c:dLbl>
              <c:idx val="3"/>
              <c:layout>
                <c:manualLayout>
                  <c:x val="-4.4461143964975282E-2"/>
                  <c:y val="1.4530518609514381E-2"/>
                </c:manualLayout>
              </c:layout>
              <c:showVal val="1"/>
            </c:dLbl>
            <c:dLbl>
              <c:idx val="4"/>
              <c:layout>
                <c:manualLayout>
                  <c:x val="-9.1971980669696946E-2"/>
                  <c:y val="-2.9283845360010174E-2"/>
                </c:manualLayout>
              </c:layout>
              <c:showVal val="1"/>
            </c:dLbl>
            <c:dLbl>
              <c:idx val="5"/>
              <c:layout>
                <c:manualLayout>
                  <c:x val="-6.9105963280883198E-2"/>
                  <c:y val="-8.4403151621153999E-2"/>
                </c:manualLayout>
              </c:layout>
              <c:showVal val="1"/>
            </c:dLbl>
            <c:dLbl>
              <c:idx val="6"/>
              <c:layout>
                <c:manualLayout>
                  <c:x val="-2.2389456522122236E-2"/>
                  <c:y val="-7.0122220977257926E-2"/>
                </c:manualLayout>
              </c:layout>
              <c:showVal val="1"/>
            </c:dLbl>
            <c:dLbl>
              <c:idx val="7"/>
              <c:layout>
                <c:manualLayout>
                  <c:x val="1.5700537981381664E-2"/>
                  <c:y val="-6.3203813961200964E-2"/>
                </c:manualLayout>
              </c:layout>
              <c:showVal val="1"/>
            </c:dLbl>
            <c:dLbl>
              <c:idx val="8"/>
              <c:layout>
                <c:manualLayout>
                  <c:x val="4.1066412995549834E-2"/>
                  <c:y val="-5.7959681581457909E-2"/>
                </c:manualLayout>
              </c:layout>
              <c:showVal val="1"/>
            </c:dLbl>
            <c:dLbl>
              <c:idx val="9"/>
              <c:layout>
                <c:manualLayout>
                  <c:x val="4.5540779715907385E-2"/>
                  <c:y val="-2.6402121990456526E-2"/>
                </c:manualLayout>
              </c:layout>
              <c:showVal val="1"/>
            </c:dLbl>
            <c:dLbl>
              <c:idx val="10"/>
              <c:layout>
                <c:manualLayout>
                  <c:x val="6.8366171635742934E-2"/>
                  <c:y val="1.779465787488594E-2"/>
                </c:manualLayout>
              </c:layout>
              <c:showVal val="1"/>
            </c:dLbl>
            <c:dLbl>
              <c:idx val="11"/>
              <c:layout>
                <c:manualLayout>
                  <c:x val="4.3623034974818738E-2"/>
                  <c:y val="4.5979459231787485E-2"/>
                </c:manualLayout>
              </c:layout>
              <c:showVal val="1"/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0.5</c:v>
                </c:pt>
              </c:numCache>
            </c:numRef>
          </c:val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2017 год</c:v>
                </c:pt>
              </c:strCache>
            </c:strRef>
          </c:tx>
          <c:spPr>
            <a:ln w="12683">
              <a:solidFill>
                <a:srgbClr val="0000FF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Pt>
            <c:idx val="0"/>
            <c:spPr>
              <a:ln w="28536">
                <a:noFill/>
              </a:ln>
            </c:spPr>
          </c:dPt>
          <c:dLbls>
            <c:dLbl>
              <c:idx val="0"/>
              <c:layout>
                <c:manualLayout>
                  <c:x val="-2.0234822630871993E-2"/>
                  <c:y val="5.1096333884854912E-2"/>
                </c:manualLayout>
              </c:layout>
              <c:showVal val="1"/>
            </c:dLbl>
            <c:dLbl>
              <c:idx val="1"/>
              <c:layout>
                <c:manualLayout>
                  <c:x val="-3.7118507832089559E-2"/>
                  <c:y val="3.8914941492510347E-2"/>
                </c:manualLayout>
              </c:layout>
              <c:showVal val="1"/>
            </c:dLbl>
            <c:dLbl>
              <c:idx val="2"/>
              <c:layout>
                <c:manualLayout>
                  <c:x val="-4.3431223399824907E-2"/>
                  <c:y val="1.8996536404600733E-2"/>
                </c:manualLayout>
              </c:layout>
              <c:showVal val="1"/>
            </c:dLbl>
            <c:dLbl>
              <c:idx val="3"/>
              <c:layout>
                <c:manualLayout>
                  <c:x val="-5.3297058797882775E-2"/>
                  <c:y val="-1.3037870266217139E-2"/>
                </c:manualLayout>
              </c:layout>
              <c:showVal val="1"/>
            </c:dLbl>
            <c:dLbl>
              <c:idx val="4"/>
              <c:layout>
                <c:manualLayout>
                  <c:x val="-3.522395114407071E-2"/>
                  <c:y val="-4.4606189824395084E-2"/>
                </c:manualLayout>
              </c:layout>
              <c:showVal val="1"/>
            </c:dLbl>
            <c:dLbl>
              <c:idx val="5"/>
              <c:layout>
                <c:manualLayout>
                  <c:x val="-3.8753934827914012E-2"/>
                  <c:y val="-3.5953077293909695E-2"/>
                </c:manualLayout>
              </c:layout>
              <c:showVal val="1"/>
            </c:dLbl>
            <c:dLbl>
              <c:idx val="6"/>
              <c:layout>
                <c:manualLayout>
                  <c:x val="-3.5674355886899579E-2"/>
                  <c:y val="-5.9613817789644724E-2"/>
                </c:manualLayout>
              </c:layout>
              <c:showVal val="1"/>
            </c:dLbl>
            <c:dLbl>
              <c:idx val="7"/>
              <c:layout>
                <c:manualLayout>
                  <c:x val="1.0298131338233887E-2"/>
                  <c:y val="-7.0138518399485775E-2"/>
                </c:manualLayout>
              </c:layout>
              <c:showVal val="1"/>
            </c:dLbl>
            <c:dLbl>
              <c:idx val="8"/>
              <c:layout>
                <c:manualLayout>
                  <c:x val="3.3288513354435348E-2"/>
                  <c:y val="-4.5209491670684006E-2"/>
                </c:manualLayout>
              </c:layout>
              <c:showVal val="1"/>
            </c:dLbl>
            <c:dLbl>
              <c:idx val="9"/>
              <c:layout>
                <c:manualLayout>
                  <c:x val="5.1191042980092555E-2"/>
                  <c:y val="6.1535165247201314E-3"/>
                </c:manualLayout>
              </c:layout>
              <c:showVal val="1"/>
            </c:dLbl>
            <c:dLbl>
              <c:idx val="10"/>
              <c:layout>
                <c:manualLayout>
                  <c:x val="3.7656106940120899E-2"/>
                  <c:y val="3.9958433767207618E-2"/>
                </c:manualLayout>
              </c:layout>
              <c:showVal val="1"/>
            </c:dLbl>
            <c:dLbl>
              <c:idx val="11"/>
              <c:layout>
                <c:manualLayout>
                  <c:x val="6.1670546995578945E-2"/>
                  <c:y val="5.4693877551021806E-2"/>
                </c:manualLayout>
              </c:layout>
              <c:showVal val="1"/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0.8</c:v>
                </c:pt>
                <c:pt idx="1">
                  <c:v>0.9</c:v>
                </c:pt>
                <c:pt idx="2">
                  <c:v>0.8</c:v>
                </c:pt>
                <c:pt idx="3" formatCode="0.0">
                  <c:v>1.3</c:v>
                </c:pt>
                <c:pt idx="4" formatCode="0.0">
                  <c:v>2</c:v>
                </c:pt>
                <c:pt idx="5">
                  <c:v>2.5</c:v>
                </c:pt>
                <c:pt idx="6">
                  <c:v>2.8</c:v>
                </c:pt>
                <c:pt idx="7">
                  <c:v>2.6</c:v>
                </c:pt>
                <c:pt idx="8">
                  <c:v>2.4</c:v>
                </c:pt>
                <c:pt idx="9">
                  <c:v>2.4</c:v>
                </c:pt>
                <c:pt idx="10">
                  <c:v>2.7</c:v>
                </c:pt>
                <c:pt idx="11">
                  <c:v>3.1</c:v>
                </c:pt>
              </c:numCache>
            </c:numRef>
          </c:val>
        </c:ser>
        <c:axId val="136678784"/>
        <c:axId val="136688768"/>
      </c:radarChart>
      <c:catAx>
        <c:axId val="136678784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6688768"/>
        <c:crosses val="autoZero"/>
        <c:lblAlgn val="ctr"/>
        <c:lblOffset val="100"/>
      </c:catAx>
      <c:valAx>
        <c:axId val="136688768"/>
        <c:scaling>
          <c:orientation val="minMax"/>
          <c:max val="6"/>
          <c:min val="0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one"/>
        <c:spPr>
          <a:ln w="3171">
            <a:solidFill>
              <a:srgbClr val="000000"/>
            </a:solidFill>
            <a:prstDash val="solid"/>
          </a:ln>
        </c:spPr>
        <c:crossAx val="136678784"/>
        <c:crosses val="autoZero"/>
        <c:crossBetween val="between"/>
        <c:majorUnit val="6"/>
        <c:minorUnit val="0.4"/>
      </c:valAx>
    </c:plotArea>
    <c:legend>
      <c:legendPos val="b"/>
      <c:layout>
        <c:manualLayout>
          <c:xMode val="edge"/>
          <c:yMode val="edge"/>
          <c:x val="0.30674514522893925"/>
          <c:y val="0.92551202528253906"/>
          <c:w val="0.37479435075474082"/>
          <c:h val="5.3853848206278289E-2"/>
        </c:manualLayout>
      </c:layout>
      <c:spPr>
        <a:noFill/>
        <a:ln w="25365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518742331352461"/>
          <c:y val="0.16820483010093595"/>
          <c:w val="0.85365853658539836"/>
          <c:h val="0.70486111111111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прибыль прибыльных</c:v>
                </c:pt>
              </c:strCache>
            </c:strRef>
          </c:tx>
          <c:spPr>
            <a:gradFill rotWithShape="0">
              <a:gsLst>
                <a:gs pos="0">
                  <a:srgbClr val="FFCC00">
                    <a:gamma/>
                    <a:shade val="46275"/>
                    <a:invGamma/>
                  </a:srgbClr>
                </a:gs>
                <a:gs pos="50000">
                  <a:srgbClr val="FFCC00"/>
                </a:gs>
                <a:gs pos="100000">
                  <a:srgbClr val="FF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6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0"/>
            </a:sp3d>
          </c:spPr>
          <c:dPt>
            <c:idx val="1"/>
            <c:spPr>
              <a:gradFill rotWithShape="0">
                <a:gsLst>
                  <a:gs pos="0">
                    <a:srgbClr val="FFCC00">
                      <a:gamma/>
                      <a:shade val="46275"/>
                      <a:invGamma/>
                    </a:srgbClr>
                  </a:gs>
                  <a:gs pos="50000">
                    <a:srgbClr val="FFCC00"/>
                  </a:gs>
                  <a:gs pos="100000">
                    <a:srgbClr val="FFCC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25400"/>
              </a:sp3d>
            </c:spPr>
          </c:dPt>
          <c:dLbls>
            <c:dLbl>
              <c:idx val="0"/>
              <c:layout>
                <c:manualLayout>
                  <c:x val="4.3503022639753714E-3"/>
                  <c:y val="8.1880846572359227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8.9505482210788748E-3"/>
                </c:manualLayout>
              </c:layout>
              <c:dLblPos val="outEnd"/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Sheet1!$A$2:$A$4</c:f>
              <c:strCache>
                <c:ptCount val="2"/>
                <c:pt idx="0">
                  <c:v>на 1.11.16</c:v>
                </c:pt>
                <c:pt idx="1">
                  <c:v>на 1.11.17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2"/>
                <c:pt idx="0">
                  <c:v>73.2</c:v>
                </c:pt>
                <c:pt idx="1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убыток убыточных</c:v>
                </c:pt>
              </c:strCache>
            </c:strRef>
          </c:tx>
          <c:spPr>
            <a:gradFill rotWithShape="0">
              <a:gsLst>
                <a:gs pos="0">
                  <a:srgbClr val="99CC00">
                    <a:gamma/>
                    <a:shade val="46275"/>
                    <a:invGamma/>
                  </a:srgbClr>
                </a:gs>
                <a:gs pos="5000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2.6546323334218198E-3"/>
                  <c:y val="-1.3422818791946341E-2"/>
                </c:manualLayout>
              </c:layout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2"/>
                <c:pt idx="0">
                  <c:v>на 1.11.16</c:v>
                </c:pt>
                <c:pt idx="1">
                  <c:v>на 1.11.17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2"/>
                <c:pt idx="0">
                  <c:v>-5.8</c:v>
                </c:pt>
                <c:pt idx="1">
                  <c:v>-9.6</c:v>
                </c:pt>
              </c:numCache>
            </c:numRef>
          </c:val>
        </c:ser>
        <c:gapWidth val="153"/>
        <c:overlap val="-5"/>
        <c:axId val="142262272"/>
        <c:axId val="142263808"/>
      </c:barChart>
      <c:catAx>
        <c:axId val="142262272"/>
        <c:scaling>
          <c:orientation val="minMax"/>
        </c:scaling>
        <c:delete val="1"/>
        <c:axPos val="l"/>
        <c:tickLblPos val="none"/>
        <c:crossAx val="142263808"/>
        <c:crossesAt val="0"/>
        <c:lblAlgn val="ctr"/>
        <c:lblOffset val="100"/>
      </c:catAx>
      <c:valAx>
        <c:axId val="142263808"/>
        <c:scaling>
          <c:orientation val="minMax"/>
          <c:max val="90"/>
          <c:min val="-20"/>
        </c:scaling>
        <c:delete val="1"/>
        <c:axPos val="b"/>
        <c:numFmt formatCode="#,##0.0" sourceLinked="1"/>
        <c:tickLblPos val="none"/>
        <c:crossAx val="142262272"/>
        <c:crosses val="autoZero"/>
        <c:crossBetween val="between"/>
        <c:majorUnit val="10"/>
        <c:minorUnit val="5"/>
      </c:valAx>
    </c:plotArea>
    <c:legend>
      <c:legendPos val="b"/>
      <c:layout>
        <c:manualLayout>
          <c:xMode val="edge"/>
          <c:yMode val="edge"/>
          <c:x val="5.0813008130081834E-2"/>
          <c:y val="0.90277777777777779"/>
          <c:w val="0.90243902439024359"/>
          <c:h val="0.10069444444444479"/>
        </c:manualLayout>
      </c:layout>
      <c:spPr>
        <a:solidFill>
          <a:srgbClr val="FFFFFF"/>
        </a:solidFill>
        <a:ln w="25412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  <a:scene3d>
      <a:camera prst="orthographicFront"/>
      <a:lightRig rig="threePt" dir="t"/>
    </a:scene3d>
    <a:sp3d>
      <a:bevelT w="6350"/>
    </a:sp3d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903651189590568"/>
          <c:y val="0.15970845901915456"/>
          <c:w val="0.62526766595289052"/>
          <c:h val="0.39616613418530588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gradFill rotWithShape="0">
              <a:gsLst>
                <a:gs pos="0">
                  <a:srgbClr val="99CC00">
                    <a:gamma/>
                    <a:shade val="46275"/>
                    <a:invGamma/>
                  </a:srgbClr>
                </a:gs>
                <a:gs pos="5000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Sheet1!$B$2:$B$3</c:f>
              <c:numCache>
                <c:formatCode>#,##0.0</c:formatCode>
                <c:ptCount val="2"/>
                <c:pt idx="0">
                  <c:v>1.03</c:v>
                </c:pt>
                <c:pt idx="1">
                  <c:v>1.6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уточненный план</c:v>
                </c:pt>
              </c:strCache>
            </c:strRef>
          </c:tx>
          <c:spPr>
            <a:gradFill rotWithShape="0">
              <a:gsLst>
                <a:gs pos="0">
                  <a:srgbClr val="FFFF99">
                    <a:gamma/>
                    <a:shade val="46275"/>
                    <a:invGamma/>
                  </a:srgbClr>
                </a:gs>
                <a:gs pos="50000">
                  <a:srgbClr val="FFFF99"/>
                </a:gs>
                <a:gs pos="100000">
                  <a:srgbClr val="FFFF99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Sheet1!$C$2:$C$3</c:f>
              <c:numCache>
                <c:formatCode>#,##0.0</c:formatCode>
                <c:ptCount val="2"/>
                <c:pt idx="0">
                  <c:v>29.6</c:v>
                </c:pt>
                <c:pt idx="1">
                  <c:v>30.7</c:v>
                </c:pt>
              </c:numCache>
            </c:numRef>
          </c:val>
        </c:ser>
        <c:dLbls>
          <c:showVal val="1"/>
        </c:dLbls>
        <c:gapWidth val="30"/>
        <c:axId val="42952960"/>
        <c:axId val="42958848"/>
      </c:barChart>
      <c:catAx>
        <c:axId val="42952960"/>
        <c:scaling>
          <c:orientation val="maxMin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958848"/>
        <c:crossesAt val="0"/>
        <c:lblAlgn val="ctr"/>
        <c:lblOffset val="100"/>
        <c:tickLblSkip val="1"/>
        <c:tickMarkSkip val="1"/>
      </c:catAx>
      <c:valAx>
        <c:axId val="42958848"/>
        <c:scaling>
          <c:orientation val="minMax"/>
          <c:max val="45"/>
          <c:min val="0"/>
        </c:scaling>
        <c:delete val="1"/>
        <c:axPos val="t"/>
        <c:numFmt formatCode="#,##0.0" sourceLinked="1"/>
        <c:tickLblPos val="none"/>
        <c:crossAx val="42952960"/>
        <c:crosses val="autoZero"/>
        <c:crossBetween val="between"/>
        <c:majorUnit val="10"/>
        <c:minorUnit val="5"/>
      </c:valAx>
      <c:spPr>
        <a:noFill/>
        <a:ln w="25362">
          <a:noFill/>
        </a:ln>
      </c:spPr>
    </c:plotArea>
    <c:legend>
      <c:legendPos val="b"/>
      <c:layout>
        <c:manualLayout>
          <c:xMode val="edge"/>
          <c:yMode val="edge"/>
          <c:x val="2.9978586723768741E-2"/>
          <c:y val="0.84984025559107579"/>
          <c:w val="0.95074946466813171"/>
          <c:h val="0.15335463258786641"/>
        </c:manualLayout>
      </c:layout>
      <c:spPr>
        <a:solidFill>
          <a:srgbClr val="FFFFFF"/>
        </a:solidFill>
        <a:ln w="25362">
          <a:noFill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0.39275</cdr:x>
      <cdr:y>0.076</cdr:y>
    </cdr:from>
    <cdr:to>
      <cdr:x>0.6345</cdr:x>
      <cdr:y>0.15925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40544" y="208483"/>
          <a:ext cx="1132913" cy="2283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 1.01.2018 г.</a:t>
          </a:r>
        </a:p>
      </cdr:txBody>
    </cdr:sp>
  </cdr:relSizeAnchor>
  <cdr:relSizeAnchor xmlns:cdr="http://schemas.openxmlformats.org/drawingml/2006/chartDrawing">
    <cdr:from>
      <cdr:x>0.39275</cdr:x>
      <cdr:y>0.46873</cdr:y>
    </cdr:from>
    <cdr:to>
      <cdr:x>0.6205</cdr:x>
      <cdr:y>0.54848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78951" y="1330453"/>
          <a:ext cx="1089577" cy="2263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на </a:t>
          </a:r>
          <a:r>
            <a:rPr lang="ru-RU" sz="1000" b="1" i="0" u="none" strike="noStrike" baseline="0">
              <a:solidFill>
                <a:sysClr val="windowText" lastClr="000000"/>
              </a:solidFill>
              <a:latin typeface="Times New Roman"/>
              <a:cs typeface="Times New Roman"/>
            </a:rPr>
            <a:t>1.01.2017</a:t>
          </a:r>
          <a:r>
            <a: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г.</a:t>
          </a:r>
        </a:p>
      </cdr:txBody>
    </cdr:sp>
  </cdr:relSizeAnchor>
  <cdr:relSizeAnchor xmlns:cdr="http://schemas.openxmlformats.org/drawingml/2006/chartDrawing">
    <cdr:from>
      <cdr:x>0</cdr:x>
      <cdr:y>0.01575</cdr:y>
    </cdr:from>
    <cdr:to>
      <cdr:x>0.17275</cdr:x>
      <cdr:y>0.0955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3205"/>
          <a:ext cx="809558" cy="2187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млрд.руб.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0.1645</cdr:x>
      <cdr:y>0.023</cdr:y>
    </cdr:from>
    <cdr:to>
      <cdr:x>0.34425</cdr:x>
      <cdr:y>0.0965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31725" y="68570"/>
          <a:ext cx="799559" cy="2191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млрд. руб.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4B677-BCD5-425A-A0C4-5665F05E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5</Pages>
  <Words>112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Инфляция и рост цен в Нижнем Новгороде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и рост цен в Нижнем Новгороде</dc:title>
  <dc:creator>*</dc:creator>
  <cp:lastModifiedBy>Шатова Наталья Анатольевна</cp:lastModifiedBy>
  <cp:revision>189</cp:revision>
  <cp:lastPrinted>2018-03-05T12:50:00Z</cp:lastPrinted>
  <dcterms:created xsi:type="dcterms:W3CDTF">2017-08-07T12:27:00Z</dcterms:created>
  <dcterms:modified xsi:type="dcterms:W3CDTF">2018-03-28T06:46:00Z</dcterms:modified>
</cp:coreProperties>
</file>