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3470CF" w:rsidP="00A721B3">
      <w:pPr>
        <w:pStyle w:val="3"/>
        <w:rPr>
          <w:color w:val="FF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4516928</wp:posOffset>
            </wp:positionH>
            <wp:positionV relativeFrom="paragraph">
              <wp:posOffset>257744</wp:posOffset>
            </wp:positionV>
            <wp:extent cx="5165766" cy="3883231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F7757" w:rsidRPr="003F7757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96.75pt;margin-top:-38.4pt;width:223.85pt;height:21.75pt;z-index:251659264;mso-position-horizontal-relative:text;mso-position-vertical-relative:text" stroked="f">
            <v:textbox style="mso-next-textbox:#_x0000_s1071">
              <w:txbxContent>
                <w:p w:rsidR="002A14A3" w:rsidRPr="00C62C62" w:rsidRDefault="002A14A3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ИЮЛЬ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color w:val="808000"/>
                      <w:sz w:val="26"/>
                      <w:szCs w:val="26"/>
                    </w:rPr>
                    <w:t xml:space="preserve">7 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  <w:r w:rsidR="003F7757" w:rsidRPr="003F7757">
        <w:rPr>
          <w:b w:val="0"/>
          <w:noProof/>
          <w:sz w:val="28"/>
          <w:szCs w:val="28"/>
        </w:rPr>
        <w:pict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2A14A3" w:rsidRPr="00492F73" w:rsidRDefault="002A14A3" w:rsidP="00492F73">
                  <w:pPr>
                    <w:jc w:val="center"/>
                    <w:rPr>
                      <w:b/>
                    </w:rPr>
                  </w:pPr>
                  <w:r w:rsidRPr="003470CF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>
                    <w:rPr>
                      <w:b/>
                      <w:szCs w:val="24"/>
                    </w:rPr>
                    <w:t>июль</w:t>
                  </w:r>
                  <w:r w:rsidRPr="003470CF">
                    <w:rPr>
                      <w:b/>
                      <w:szCs w:val="24"/>
                    </w:rPr>
                    <w:t xml:space="preserve">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3470CF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3F7757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3" style="position:absolute;left:0;text-align:left;margin-left:350.25pt;margin-top:285.55pt;width:406.05pt;height:143.8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2A14A3" w:rsidRPr="00E74539" w:rsidRDefault="002A14A3" w:rsidP="007C5B2C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E74539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Pr="00E74539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>не значительно</w:t>
                  </w:r>
                  <w:r w:rsidRPr="00E74539">
                    <w:rPr>
                      <w:rStyle w:val="a4"/>
                      <w:i w:val="0"/>
                      <w:sz w:val="27"/>
                      <w:szCs w:val="27"/>
                    </w:rPr>
                    <w:t xml:space="preserve"> </w:t>
                  </w:r>
                  <w:r w:rsidRPr="00E74539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отличается от РФ: </w:t>
                  </w:r>
                  <w:r w:rsidRPr="00E74539">
                    <w:rPr>
                      <w:rStyle w:val="a4"/>
                      <w:i w:val="0"/>
                      <w:sz w:val="27"/>
                      <w:szCs w:val="27"/>
                    </w:rPr>
                    <w:t>индекс потребительских цен составил за июль 2017 года по отношению к декабрю 2016 года 102,8%</w:t>
                  </w:r>
                  <w:r w:rsidRPr="00E74539">
                    <w:rPr>
                      <w:rStyle w:val="a4"/>
                      <w:i w:val="0"/>
                      <w:color w:val="FF0000"/>
                      <w:sz w:val="27"/>
                      <w:szCs w:val="27"/>
                    </w:rPr>
                    <w:t xml:space="preserve"> </w:t>
                  </w:r>
                  <w:r w:rsidRPr="00E74539">
                    <w:rPr>
                      <w:rStyle w:val="a4"/>
                      <w:i w:val="0"/>
                      <w:sz w:val="27"/>
                      <w:szCs w:val="27"/>
                    </w:rPr>
                    <w:t>(по Российской Федерации – 102,4%)</w:t>
                  </w:r>
                  <w:r w:rsidRPr="00E74539">
                    <w:rPr>
                      <w:sz w:val="27"/>
                      <w:szCs w:val="27"/>
                    </w:rPr>
                    <w:t>.</w:t>
                  </w:r>
                </w:p>
                <w:p w:rsidR="002A14A3" w:rsidRPr="00CC2B72" w:rsidRDefault="002A14A3" w:rsidP="007C2A08">
                  <w:pPr>
                    <w:ind w:left="567"/>
                    <w:jc w:val="both"/>
                    <w:rPr>
                      <w:sz w:val="10"/>
                      <w:szCs w:val="10"/>
                    </w:rPr>
                  </w:pPr>
                </w:p>
                <w:p w:rsidR="002A14A3" w:rsidRPr="00CC2B72" w:rsidRDefault="002A14A3" w:rsidP="009416D0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CC2B72">
                    <w:rPr>
                      <w:sz w:val="27"/>
                      <w:szCs w:val="27"/>
                    </w:rPr>
                    <w:t xml:space="preserve">Наибольшими темпами в городе дорожали </w:t>
                  </w:r>
                  <w:r w:rsidRPr="00CC2B72">
                    <w:rPr>
                      <w:b/>
                      <w:sz w:val="27"/>
                      <w:szCs w:val="27"/>
                    </w:rPr>
                    <w:t>платные услуги</w:t>
                  </w:r>
                  <w:r w:rsidRPr="00CC2B72">
                    <w:rPr>
                      <w:sz w:val="27"/>
                      <w:szCs w:val="27"/>
                    </w:rPr>
                    <w:t>: с начала года цены на них увеличились на 5,1%.</w:t>
                  </w:r>
                </w:p>
              </w:txbxContent>
            </v:textbox>
          </v:roundrect>
        </w:pict>
      </w:r>
      <w:r w:rsidR="00586814"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-571234</wp:posOffset>
            </wp:positionH>
            <wp:positionV relativeFrom="paragraph">
              <wp:posOffset>695222</wp:posOffset>
            </wp:positionV>
            <wp:extent cx="5390707" cy="4667693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2A14A3" w:rsidRPr="004C7534" w:rsidRDefault="002A14A3" w:rsidP="00492F73">
                    <w:pPr>
                      <w:jc w:val="center"/>
                      <w:rPr>
                        <w:b/>
                        <w:color w:val="FF0000"/>
                        <w:szCs w:val="24"/>
                      </w:rPr>
                    </w:pPr>
                    <w:r w:rsidRPr="004C7534">
                      <w:rPr>
                        <w:b/>
                        <w:color w:val="FF0000"/>
                        <w:szCs w:val="24"/>
                      </w:rPr>
                      <w:t>Индекс инфляции за период с начала года,</w:t>
                    </w:r>
                  </w:p>
                  <w:p w:rsidR="002A14A3" w:rsidRPr="004C7534" w:rsidRDefault="002A14A3" w:rsidP="00492F73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4C7534">
                      <w:rPr>
                        <w:b/>
                        <w:color w:val="FF0000"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3470CF">
      <w:pPr>
        <w:rPr>
          <w:b/>
          <w:sz w:val="28"/>
          <w:szCs w:val="28"/>
        </w:rPr>
        <w:sectPr w:rsidR="00A019A4" w:rsidSect="00DA466A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D54477" w:rsidP="004B447B">
      <w:pPr>
        <w:pStyle w:val="3"/>
        <w:spacing w:before="60"/>
        <w:rPr>
          <w:color w:val="FF0000"/>
          <w:sz w:val="32"/>
          <w:szCs w:val="32"/>
        </w:rPr>
      </w:pPr>
      <w:r w:rsidRPr="00F44BBC">
        <w:rPr>
          <w:color w:val="FF0000"/>
          <w:sz w:val="32"/>
          <w:szCs w:val="32"/>
        </w:rPr>
        <w:lastRenderedPageBreak/>
        <w:t>Уровень и качество жизни населения</w:t>
      </w:r>
    </w:p>
    <w:p w:rsidR="002824CE" w:rsidRDefault="003F7757" w:rsidP="00A019A4">
      <w:r w:rsidRPr="003F7757">
        <w:rPr>
          <w:noProof/>
          <w:sz w:val="26"/>
          <w:szCs w:val="26"/>
        </w:rPr>
        <w:pict>
          <v:roundrect id="_x0000_s1036" style="position:absolute;margin-left:445.5pt;margin-top:8.25pt;width:321.3pt;height:146.9pt;z-index:251651072" arcsize="6736f" strokecolor="#9bbb59" strokeweight="2.5pt">
            <v:shadow color="#868686"/>
            <v:textbox style="mso-next-textbox:#_x0000_s1036">
              <w:txbxContent>
                <w:p w:rsidR="002A14A3" w:rsidRDefault="002A14A3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2A14A3" w:rsidRPr="005C3B34" w:rsidRDefault="002A14A3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5C3B34">
                    <w:rPr>
                      <w:sz w:val="27"/>
                      <w:szCs w:val="27"/>
                    </w:rPr>
                    <w:t>В июне 2017 года наблюдается естественная убыль населения – 211 чел.</w:t>
                  </w:r>
                </w:p>
                <w:p w:rsidR="002A14A3" w:rsidRPr="001B64E6" w:rsidRDefault="002A14A3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2A14A3" w:rsidRPr="00FA2566" w:rsidRDefault="002A14A3" w:rsidP="00F9532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rPr>
                      <w:szCs w:val="27"/>
                    </w:rPr>
                  </w:pPr>
                  <w:r w:rsidRPr="00FA2566">
                    <w:rPr>
                      <w:sz w:val="27"/>
                      <w:szCs w:val="27"/>
                    </w:rPr>
                    <w:t>В июне 2017 года по сравнению с маем 2017 года численность работающих в крупных и средних организациях уменьшилась на 0,2%.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42" style="position:absolute;margin-left:0;margin-top:8.85pt;width:6in;height:146.3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8"/>
                    <w:gridCol w:w="1030"/>
                    <w:gridCol w:w="912"/>
                    <w:gridCol w:w="1219"/>
                    <w:gridCol w:w="916"/>
                    <w:gridCol w:w="1300"/>
                  </w:tblGrid>
                  <w:tr w:rsidR="002A14A3" w:rsidRPr="00443FEE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2A14A3" w:rsidRPr="00443FEE" w:rsidRDefault="002A14A3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2A14A3" w:rsidRPr="00443FEE" w:rsidRDefault="002A14A3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июнь</w:t>
                        </w:r>
                      </w:p>
                      <w:p w:rsidR="002A14A3" w:rsidRPr="00443FEE" w:rsidRDefault="002A14A3" w:rsidP="000B1E4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2A14A3" w:rsidRPr="00443FEE" w:rsidRDefault="002A14A3" w:rsidP="005C3B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маю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2A14A3" w:rsidRPr="00443FEE" w:rsidRDefault="002A14A3" w:rsidP="005C3B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июню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2A14A3" w:rsidRPr="00443FEE" w:rsidTr="00DA466A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443FEE" w:rsidRDefault="002A14A3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443FEE" w:rsidRDefault="002A14A3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443FEE" w:rsidRDefault="002A14A3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219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443FEE" w:rsidRDefault="002A14A3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443FEE" w:rsidRDefault="002A14A3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443FEE" w:rsidRDefault="002A14A3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2A14A3" w:rsidRPr="005C3B34" w:rsidTr="00DA466A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</w:tcPr>
                      <w:p w:rsidR="002A14A3" w:rsidRPr="005C3B34" w:rsidRDefault="002A14A3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proofErr w:type="gramStart"/>
                        <w:r w:rsidRPr="00430EB8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  <w:proofErr w:type="gramEnd"/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2A14A3" w:rsidRPr="005C3B34" w:rsidRDefault="002A14A3" w:rsidP="00430EB8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430EB8">
                          <w:rPr>
                            <w:sz w:val="20"/>
                          </w:rPr>
                          <w:t>44 044,6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2A14A3" w:rsidRPr="00860A60" w:rsidRDefault="002A14A3" w:rsidP="001B64E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0A60">
                          <w:rPr>
                            <w:sz w:val="20"/>
                          </w:rPr>
                          <w:t>100,04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2A14A3" w:rsidRPr="00860A60" w:rsidRDefault="002A14A3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860A6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2A14A3" w:rsidRPr="00860A60" w:rsidRDefault="002A14A3" w:rsidP="005E16F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0A60">
                          <w:rPr>
                            <w:sz w:val="20"/>
                          </w:rPr>
                          <w:t>107,0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2A14A3" w:rsidRPr="00860A60" w:rsidRDefault="002A14A3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0A6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2A14A3" w:rsidRPr="005C3B34" w:rsidTr="002529E6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EE2D53" w:rsidRDefault="002A14A3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EE2D53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</w:t>
                        </w:r>
                        <w:proofErr w:type="gramStart"/>
                        <w:r w:rsidRPr="00EE2D53">
                          <w:rPr>
                            <w:color w:val="000000"/>
                            <w:sz w:val="20"/>
                          </w:rPr>
                          <w:t>.ч</w:t>
                        </w:r>
                        <w:proofErr w:type="gramEnd"/>
                        <w:r w:rsidRPr="00EE2D53">
                          <w:rPr>
                            <w:color w:val="000000"/>
                            <w:sz w:val="20"/>
                          </w:rPr>
                          <w:t>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2A14A3" w:rsidRPr="00EE2D53" w:rsidRDefault="002A14A3" w:rsidP="005719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E2D53">
                          <w:rPr>
                            <w:sz w:val="20"/>
                          </w:rPr>
                          <w:t>412,3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2A14A3" w:rsidRPr="00EE2D53" w:rsidRDefault="002A14A3" w:rsidP="00EE2D5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E2D53">
                          <w:rPr>
                            <w:sz w:val="20"/>
                          </w:rPr>
                          <w:t>99,8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2A14A3" w:rsidRPr="00EE2D53" w:rsidRDefault="002A14A3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E2D5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2A14A3" w:rsidRPr="00EE2D53" w:rsidRDefault="002A14A3" w:rsidP="00EE2D5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E2D53">
                          <w:rPr>
                            <w:sz w:val="20"/>
                          </w:rPr>
                          <w:t>99,4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2A14A3" w:rsidRPr="00EE2D53" w:rsidRDefault="002A14A3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E2D5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2A14A3" w:rsidRPr="005C3B34" w:rsidTr="002529E6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2A14A3" w:rsidRPr="005C3B34" w:rsidRDefault="002A14A3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5C3B34">
                          <w:rPr>
                            <w:color w:val="000000"/>
                            <w:sz w:val="20"/>
                          </w:rPr>
                          <w:t>Естественная убыль населения, 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2A14A3" w:rsidRPr="005C3B34" w:rsidRDefault="002A14A3" w:rsidP="006553A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C3B34">
                          <w:rPr>
                            <w:sz w:val="20"/>
                          </w:rPr>
                          <w:t>-211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2A14A3" w:rsidRPr="005C3B34" w:rsidRDefault="002A14A3" w:rsidP="00AA4B48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C3B34">
                          <w:rPr>
                            <w:sz w:val="20"/>
                          </w:rPr>
                          <w:t>89,0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2A14A3" w:rsidRPr="005C3B34" w:rsidRDefault="002A14A3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5C3B34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2A14A3" w:rsidRPr="005C3B34" w:rsidRDefault="002A14A3" w:rsidP="00B3025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C3B34">
                          <w:rPr>
                            <w:sz w:val="20"/>
                          </w:rPr>
                          <w:t>-*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2A14A3" w:rsidRPr="005C3B34" w:rsidRDefault="002A14A3" w:rsidP="005C3B34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5C3B34">
                          <w:rPr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</w:tbl>
                <w:p w:rsidR="002A14A3" w:rsidRPr="00326BA6" w:rsidRDefault="002A14A3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0E0575" w:rsidRDefault="000E0575" w:rsidP="005C3B34">
      <w:pPr>
        <w:pStyle w:val="3"/>
        <w:spacing w:before="0" w:after="0"/>
        <w:rPr>
          <w:color w:val="FF0000"/>
          <w:sz w:val="32"/>
          <w:szCs w:val="32"/>
        </w:rPr>
      </w:pPr>
    </w:p>
    <w:p w:rsidR="003E6512" w:rsidRPr="005C3B34" w:rsidRDefault="005C3B34" w:rsidP="005C3B34">
      <w:pPr>
        <w:rPr>
          <w:sz w:val="20"/>
        </w:rPr>
      </w:pPr>
      <w:r>
        <w:rPr>
          <w:sz w:val="20"/>
        </w:rPr>
        <w:t xml:space="preserve">* - </w:t>
      </w:r>
      <w:r w:rsidRPr="005C3B34">
        <w:rPr>
          <w:sz w:val="20"/>
        </w:rPr>
        <w:t xml:space="preserve">в июне 2016 года </w:t>
      </w:r>
      <w:r>
        <w:rPr>
          <w:sz w:val="20"/>
        </w:rPr>
        <w:t>наблюдался естественный прирост населения (35 чел.)</w:t>
      </w:r>
    </w:p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tbl>
      <w:tblPr>
        <w:tblpPr w:leftFromText="180" w:rightFromText="180" w:vertAnchor="text" w:horzAnchor="page" w:tblpX="7361" w:tblpY="-85"/>
        <w:tblOverlap w:val="never"/>
        <w:tblW w:w="8808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3199"/>
        <w:gridCol w:w="1033"/>
        <w:gridCol w:w="979"/>
        <w:gridCol w:w="1334"/>
        <w:gridCol w:w="934"/>
        <w:gridCol w:w="1329"/>
      </w:tblGrid>
      <w:tr w:rsidR="000E0575" w:rsidRPr="009B7800" w:rsidTr="000E0575">
        <w:trPr>
          <w:trHeight w:val="360"/>
        </w:trPr>
        <w:tc>
          <w:tcPr>
            <w:tcW w:w="3199" w:type="dxa"/>
            <w:vMerge w:val="restart"/>
            <w:shd w:val="pct20" w:color="000000" w:fill="FFFFFF"/>
            <w:vAlign w:val="center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shd w:val="pct20" w:color="000000" w:fill="FFFFFF"/>
            <w:vAlign w:val="center"/>
          </w:tcPr>
          <w:p w:rsidR="000E0575" w:rsidRPr="009B7800" w:rsidRDefault="00D32FC8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ию</w:t>
            </w:r>
            <w:r w:rsidR="005C3B34">
              <w:rPr>
                <w:b/>
                <w:bCs/>
                <w:sz w:val="20"/>
              </w:rPr>
              <w:t>л</w:t>
            </w:r>
            <w:r>
              <w:rPr>
                <w:b/>
                <w:bCs/>
                <w:sz w:val="20"/>
              </w:rPr>
              <w:t>ь</w:t>
            </w:r>
            <w:r w:rsidR="000E0575" w:rsidRPr="009B7800">
              <w:rPr>
                <w:b/>
                <w:bCs/>
                <w:sz w:val="20"/>
              </w:rPr>
              <w:t xml:space="preserve"> </w:t>
            </w:r>
          </w:p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highlight w:val="yellow"/>
              </w:rPr>
            </w:pPr>
            <w:r w:rsidRPr="009B7800">
              <w:rPr>
                <w:b/>
                <w:bCs/>
                <w:sz w:val="20"/>
              </w:rPr>
              <w:t>2017 г.</w:t>
            </w:r>
          </w:p>
        </w:tc>
        <w:tc>
          <w:tcPr>
            <w:tcW w:w="2313" w:type="dxa"/>
            <w:gridSpan w:val="2"/>
            <w:shd w:val="pct20" w:color="000000" w:fill="FFFFFF"/>
            <w:vAlign w:val="center"/>
          </w:tcPr>
          <w:p w:rsidR="000E0575" w:rsidRPr="009B7800" w:rsidRDefault="000E0575" w:rsidP="005C3B3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5C3B34">
              <w:rPr>
                <w:b/>
                <w:bCs/>
                <w:sz w:val="20"/>
              </w:rPr>
              <w:t>июню</w:t>
            </w:r>
            <w:r w:rsidRPr="009B7800">
              <w:rPr>
                <w:b/>
                <w:bCs/>
                <w:sz w:val="20"/>
              </w:rPr>
              <w:t xml:space="preserve"> 201</w:t>
            </w:r>
            <w:r>
              <w:rPr>
                <w:b/>
                <w:bCs/>
                <w:sz w:val="20"/>
              </w:rPr>
              <w:t>7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2263" w:type="dxa"/>
            <w:gridSpan w:val="2"/>
            <w:shd w:val="pct20" w:color="000000" w:fill="FFFFFF"/>
            <w:vAlign w:val="center"/>
          </w:tcPr>
          <w:p w:rsidR="000E0575" w:rsidRPr="009B7800" w:rsidRDefault="000E0575" w:rsidP="005C3B3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Wingdings 3" w:hAnsi="Wingdings 3"/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D32FC8">
              <w:rPr>
                <w:b/>
                <w:bCs/>
                <w:sz w:val="20"/>
              </w:rPr>
              <w:t>ию</w:t>
            </w:r>
            <w:r w:rsidR="005C3B34">
              <w:rPr>
                <w:b/>
                <w:bCs/>
                <w:sz w:val="20"/>
              </w:rPr>
              <w:t>л</w:t>
            </w:r>
            <w:r w:rsidR="00D32FC8">
              <w:rPr>
                <w:b/>
                <w:bCs/>
                <w:sz w:val="20"/>
              </w:rPr>
              <w:t>ю</w:t>
            </w:r>
            <w:r w:rsidRPr="009B7800">
              <w:rPr>
                <w:b/>
                <w:bCs/>
                <w:sz w:val="20"/>
              </w:rPr>
              <w:t xml:space="preserve"> 201</w:t>
            </w:r>
            <w:r>
              <w:rPr>
                <w:b/>
                <w:bCs/>
                <w:sz w:val="20"/>
              </w:rPr>
              <w:t>6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1033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97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  <w:tc>
          <w:tcPr>
            <w:tcW w:w="9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highlight w:val="yellow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2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shd w:val="pct20" w:color="000000" w:fill="FFFFFF"/>
          </w:tcPr>
          <w:p w:rsidR="000E0575" w:rsidRPr="00D10CD4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10CD4">
              <w:rPr>
                <w:color w:val="000000"/>
                <w:sz w:val="20"/>
              </w:rPr>
              <w:t>Численность официально зарегистрированных безработных на конец месяца, чел.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D10CD4" w:rsidRDefault="00727F12" w:rsidP="00D10CD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10CD4">
              <w:rPr>
                <w:sz w:val="20"/>
              </w:rPr>
              <w:t>2</w:t>
            </w:r>
            <w:r w:rsidR="000E0575" w:rsidRPr="00D10CD4">
              <w:rPr>
                <w:sz w:val="20"/>
              </w:rPr>
              <w:t xml:space="preserve"> </w:t>
            </w:r>
            <w:r w:rsidR="00D10CD4" w:rsidRPr="00D10CD4">
              <w:rPr>
                <w:sz w:val="20"/>
              </w:rPr>
              <w:t>834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0E0575" w:rsidRPr="00D10CD4" w:rsidRDefault="00D32FC8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10CD4">
              <w:rPr>
                <w:sz w:val="20"/>
              </w:rPr>
              <w:t>97,</w:t>
            </w:r>
            <w:r w:rsidR="00D10CD4" w:rsidRPr="00D10CD4">
              <w:rPr>
                <w:sz w:val="20"/>
              </w:rPr>
              <w:t>7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D10CD4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D10CD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D10CD4" w:rsidRDefault="00D10CD4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D10CD4">
              <w:rPr>
                <w:bCs/>
                <w:sz w:val="20"/>
              </w:rPr>
              <w:t>78,0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D10CD4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D10CD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315"/>
        </w:trPr>
        <w:tc>
          <w:tcPr>
            <w:tcW w:w="3199" w:type="dxa"/>
            <w:shd w:val="pct5" w:color="000000" w:fill="FFFFFF"/>
          </w:tcPr>
          <w:p w:rsidR="000E0575" w:rsidRPr="00D10CD4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10CD4">
              <w:rPr>
                <w:color w:val="000000"/>
                <w:sz w:val="20"/>
              </w:rPr>
              <w:t>Уровень официальной безработицы, % к экономически активному населению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D10CD4" w:rsidRDefault="000E0575" w:rsidP="00D32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10CD4">
              <w:rPr>
                <w:sz w:val="20"/>
              </w:rPr>
              <w:t>0,4</w:t>
            </w:r>
            <w:r w:rsidR="00D10CD4" w:rsidRPr="00D10CD4">
              <w:rPr>
                <w:sz w:val="20"/>
              </w:rPr>
              <w:t>0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D10CD4" w:rsidRDefault="00D32FC8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10CD4">
              <w:rPr>
                <w:sz w:val="20"/>
              </w:rPr>
              <w:t>97,6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D10CD4" w:rsidRDefault="00F74CF1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D10CD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D10CD4" w:rsidRDefault="00D32FC8" w:rsidP="00D10CD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D10CD4">
              <w:rPr>
                <w:bCs/>
                <w:sz w:val="20"/>
              </w:rPr>
              <w:t>7</w:t>
            </w:r>
            <w:r w:rsidR="00D10CD4" w:rsidRPr="00D10CD4">
              <w:rPr>
                <w:bCs/>
                <w:sz w:val="20"/>
              </w:rPr>
              <w:t>5</w:t>
            </w:r>
            <w:r w:rsidRPr="00D10CD4">
              <w:rPr>
                <w:bCs/>
                <w:sz w:val="20"/>
              </w:rPr>
              <w:t>,5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D10CD4" w:rsidRDefault="000E0575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D10CD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630"/>
        </w:trPr>
        <w:tc>
          <w:tcPr>
            <w:tcW w:w="3199" w:type="dxa"/>
            <w:shd w:val="pct20" w:color="000000" w:fill="FFFFFF"/>
          </w:tcPr>
          <w:p w:rsidR="000E0575" w:rsidRPr="00D10CD4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10CD4">
              <w:rPr>
                <w:color w:val="000000"/>
                <w:sz w:val="20"/>
              </w:rPr>
              <w:t xml:space="preserve">Напряженность на рынке труда, число </w:t>
            </w:r>
            <w:proofErr w:type="gramStart"/>
            <w:r w:rsidRPr="00D10CD4">
              <w:rPr>
                <w:color w:val="000000"/>
                <w:sz w:val="20"/>
              </w:rPr>
              <w:t>незанятых</w:t>
            </w:r>
            <w:proofErr w:type="gramEnd"/>
            <w:r w:rsidRPr="00D10CD4">
              <w:rPr>
                <w:color w:val="000000"/>
                <w:sz w:val="20"/>
              </w:rPr>
              <w:t xml:space="preserve"> на одну вакансию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D10CD4" w:rsidRDefault="000E0575" w:rsidP="00D32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10CD4">
              <w:rPr>
                <w:sz w:val="20"/>
              </w:rPr>
              <w:t>0,</w:t>
            </w:r>
            <w:r w:rsidR="00D10CD4" w:rsidRPr="00D10CD4">
              <w:rPr>
                <w:sz w:val="20"/>
              </w:rPr>
              <w:t>32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0E0575" w:rsidRPr="00D10CD4" w:rsidRDefault="00D10CD4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10CD4">
              <w:rPr>
                <w:sz w:val="20"/>
              </w:rPr>
              <w:t>114,3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D10CD4" w:rsidRDefault="00D32FC8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</w:rPr>
            </w:pPr>
            <w:r w:rsidRPr="00D10CD4">
              <w:rPr>
                <w:rFonts w:ascii="Wingdings 3" w:hAnsi="Wingdings 3"/>
                <w:bCs/>
                <w:sz w:val="28"/>
                <w:szCs w:val="28"/>
              </w:rPr>
              <w:t></w:t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D10CD4" w:rsidRDefault="00D10CD4" w:rsidP="000E0575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 w:rsidRPr="00D10CD4">
              <w:rPr>
                <w:bCs/>
                <w:sz w:val="20"/>
              </w:rPr>
              <w:t>76,2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D10CD4" w:rsidRDefault="000E0575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</w:rPr>
            </w:pPr>
            <w:r w:rsidRPr="00D10CD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8A5D37" w:rsidTr="000E0575">
        <w:trPr>
          <w:trHeight w:val="630"/>
        </w:trPr>
        <w:tc>
          <w:tcPr>
            <w:tcW w:w="3199" w:type="dxa"/>
            <w:shd w:val="pct5" w:color="000000" w:fill="FFFFFF"/>
          </w:tcPr>
          <w:p w:rsidR="000E0575" w:rsidRPr="00A71B1D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A71B1D">
              <w:rPr>
                <w:color w:val="000000"/>
                <w:sz w:val="20"/>
              </w:rPr>
              <w:t>Задолженность по заработной плате, на конец месяца, млн. руб.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A71B1D" w:rsidRDefault="006A03DD" w:rsidP="001B1D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71B1D">
              <w:rPr>
                <w:sz w:val="20"/>
              </w:rPr>
              <w:t>2,</w:t>
            </w:r>
            <w:r w:rsidR="00A71B1D" w:rsidRPr="00A71B1D">
              <w:rPr>
                <w:sz w:val="20"/>
              </w:rPr>
              <w:t>1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A71B1D" w:rsidRDefault="00A71B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A71B1D">
              <w:rPr>
                <w:sz w:val="20"/>
              </w:rPr>
              <w:t>77,8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A71B1D" w:rsidRDefault="00A71B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71B1D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5C3B34" w:rsidRDefault="003F06AE" w:rsidP="00A71B1D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  <w:highlight w:val="yellow"/>
              </w:rPr>
            </w:pPr>
            <w:r w:rsidRPr="00A71B1D">
              <w:rPr>
                <w:sz w:val="20"/>
              </w:rPr>
              <w:t xml:space="preserve">в </w:t>
            </w:r>
            <w:r w:rsidR="00A71B1D" w:rsidRPr="00A71B1D">
              <w:rPr>
                <w:sz w:val="20"/>
              </w:rPr>
              <w:t>30</w:t>
            </w:r>
            <w:r w:rsidRPr="00A71B1D">
              <w:rPr>
                <w:sz w:val="20"/>
              </w:rPr>
              <w:t xml:space="preserve"> раз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5C3B34" w:rsidRDefault="00A71B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highlight w:val="yellow"/>
              </w:rPr>
            </w:pPr>
            <w:r w:rsidRPr="00D10CD4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</w:tbl>
    <w:p w:rsidR="002824CE" w:rsidRDefault="003F7757" w:rsidP="00A019A4">
      <w:r>
        <w:rPr>
          <w:noProof/>
        </w:rPr>
        <w:pict>
          <v:roundrect id="_x0000_s1044" style="position:absolute;margin-left:0;margin-top:.85pt;width:4in;height:179pt;z-index:251654144;mso-position-horizontal-relative:text;mso-position-vertical-relative:text" arcsize="10923f" strokecolor="#9bbb59" strokeweight="2.5pt">
            <v:shadow color="#868686"/>
            <v:textbox style="mso-next-textbox:#_x0000_s1044" inset=",.3mm,,.3mm">
              <w:txbxContent>
                <w:p w:rsidR="002A14A3" w:rsidRPr="00C85C17" w:rsidRDefault="002A14A3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C85C17">
                    <w:rPr>
                      <w:sz w:val="27"/>
                      <w:szCs w:val="27"/>
                    </w:rPr>
                    <w:t>Уровень безработицы на конец июля 2017 года по сравнению с концом июня 2017 года уменьшился на 2,4%.</w:t>
                  </w:r>
                </w:p>
                <w:p w:rsidR="002A14A3" w:rsidRPr="00C85C17" w:rsidRDefault="002A14A3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C85C17">
                    <w:rPr>
                      <w:sz w:val="27"/>
                      <w:szCs w:val="27"/>
                    </w:rPr>
                    <w:t>Напряженность на рынке труда в июле 2017 года по сравнению с июнем 2017 года увеличилась на 14,3%.</w:t>
                  </w:r>
                </w:p>
                <w:p w:rsidR="002A14A3" w:rsidRPr="00A71B1D" w:rsidRDefault="002A14A3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A71B1D">
                    <w:rPr>
                      <w:sz w:val="27"/>
                      <w:szCs w:val="27"/>
                    </w:rPr>
                    <w:t>Задолженность по заработной плате на конец июля 2017 года составила 2,1 млн. руб. и уменьшилась по сравнению с июнем 2017 года на 515 тыс. руб.</w:t>
                  </w:r>
                </w:p>
              </w:txbxContent>
            </v:textbox>
          </v:round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3F7757" w:rsidP="00A019A4">
      <w:r>
        <w:rPr>
          <w:noProof/>
        </w:rPr>
        <w:pict>
          <v:rect id="_x0000_s1043" style="position:absolute;margin-left:316.15pt;margin-top:.5pt;width:6in;height:21.75pt;z-index:251653120" filled="f" stroked="f">
            <v:textbox style="mso-next-textbox:#_x0000_s1043">
              <w:txbxContent>
                <w:p w:rsidR="002A14A3" w:rsidRPr="001B1D1D" w:rsidRDefault="002A14A3" w:rsidP="001B1D1D"/>
              </w:txbxContent>
            </v:textbox>
          </v:rect>
        </w:pict>
      </w:r>
    </w:p>
    <w:p w:rsidR="008E15D5" w:rsidRDefault="008E15D5" w:rsidP="00A019A4">
      <w:pPr>
        <w:rPr>
          <w:sz w:val="20"/>
        </w:rPr>
      </w:pPr>
    </w:p>
    <w:p w:rsidR="007D18EE" w:rsidRDefault="007D18EE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Финансы организаций</w:t>
      </w:r>
    </w:p>
    <w:p w:rsidR="007D18EE" w:rsidRDefault="003F7757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pict>
          <v:roundrect id="_x0000_s1050" style="position:absolute;margin-left:380.45pt;margin-top:5.85pt;width:369.45pt;height:224.25pt;z-index:251655168;mso-position-horizontal-relative:text;mso-position-vertical-relative:text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2A14A3" w:rsidRPr="003C4C2F" w:rsidRDefault="002A14A3" w:rsidP="008535D9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1621A1">
                    <w:rPr>
                      <w:sz w:val="27"/>
                      <w:szCs w:val="27"/>
                    </w:rPr>
                    <w:t>На 1.0</w:t>
                  </w:r>
                  <w:r>
                    <w:rPr>
                      <w:sz w:val="27"/>
                      <w:szCs w:val="27"/>
                    </w:rPr>
                    <w:t>7</w:t>
                  </w:r>
                  <w:r w:rsidRPr="001621A1">
                    <w:rPr>
                      <w:sz w:val="27"/>
                      <w:szCs w:val="27"/>
                    </w:rPr>
                    <w:t>.2017 года прибыль прибыльных организаций города превысила убыток, полученный убыточными организациями</w:t>
                  </w:r>
                  <w:r w:rsidRPr="00E003F2">
                    <w:rPr>
                      <w:sz w:val="27"/>
                      <w:szCs w:val="27"/>
                    </w:rPr>
                    <w:t xml:space="preserve">, на </w:t>
                  </w:r>
                  <w:r w:rsidR="00E003F2" w:rsidRPr="00E003F2">
                    <w:rPr>
                      <w:sz w:val="27"/>
                      <w:szCs w:val="27"/>
                    </w:rPr>
                    <w:t>32,8</w:t>
                  </w:r>
                  <w:r w:rsidRPr="00E003F2">
                    <w:rPr>
                      <w:sz w:val="27"/>
                      <w:szCs w:val="27"/>
                    </w:rPr>
                    <w:t xml:space="preserve"> млрд. руб. (</w:t>
                  </w:r>
                  <w:r w:rsidRPr="003C4C2F">
                    <w:rPr>
                      <w:sz w:val="27"/>
                      <w:szCs w:val="27"/>
                    </w:rPr>
                    <w:t>на 1.07.2016 - на 23,5 млрд. руб.).</w:t>
                  </w:r>
                </w:p>
                <w:p w:rsidR="002A14A3" w:rsidRPr="009614F9" w:rsidRDefault="002A14A3" w:rsidP="00B31DBB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</w:pPr>
                  <w:r w:rsidRPr="009614F9">
                    <w:rPr>
                      <w:sz w:val="27"/>
                      <w:szCs w:val="27"/>
                    </w:rPr>
                    <w:t xml:space="preserve">В июне 2017 года наибольшее уменьшение доли убыточных организаций произошло в сфере: </w:t>
                  </w:r>
                  <w:r w:rsidR="00394609" w:rsidRPr="009614F9">
                    <w:rPr>
                      <w:sz w:val="27"/>
                      <w:szCs w:val="27"/>
                    </w:rPr>
                    <w:t xml:space="preserve">водоснабжения; водоотведения, организаций сбора и утилизации отходов, деятельности по ликвидации загрязнений </w:t>
                  </w:r>
                  <w:r w:rsidRPr="009614F9">
                    <w:rPr>
                      <w:sz w:val="27"/>
                      <w:szCs w:val="27"/>
                    </w:rPr>
                    <w:t xml:space="preserve">на </w:t>
                  </w:r>
                  <w:r w:rsidR="00394609" w:rsidRPr="009614F9">
                    <w:rPr>
                      <w:sz w:val="27"/>
                      <w:szCs w:val="27"/>
                    </w:rPr>
                    <w:t>28,6</w:t>
                  </w:r>
                  <w:r w:rsidRPr="009614F9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9614F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Pr="009614F9">
                    <w:rPr>
                      <w:sz w:val="27"/>
                      <w:szCs w:val="27"/>
                    </w:rPr>
                    <w:t xml:space="preserve">., операций с недвижимым имуществом на </w:t>
                  </w:r>
                  <w:r w:rsidR="00001250" w:rsidRPr="009614F9">
                    <w:rPr>
                      <w:sz w:val="27"/>
                      <w:szCs w:val="27"/>
                    </w:rPr>
                    <w:t>4,2</w:t>
                  </w:r>
                  <w:r w:rsidRPr="009614F9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9614F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Pr="009614F9">
                    <w:rPr>
                      <w:sz w:val="27"/>
                      <w:szCs w:val="27"/>
                    </w:rPr>
                    <w:t xml:space="preserve">., </w:t>
                  </w:r>
                  <w:r w:rsidR="009614F9" w:rsidRPr="009614F9">
                    <w:rPr>
                      <w:sz w:val="27"/>
                      <w:szCs w:val="27"/>
                    </w:rPr>
                    <w:t xml:space="preserve">деятельности профессиональной, научной и технической </w:t>
                  </w:r>
                  <w:r w:rsidR="009614F9" w:rsidRPr="009614F9">
                    <w:rPr>
                      <w:sz w:val="27"/>
                      <w:szCs w:val="27"/>
                    </w:rPr>
                    <w:br/>
                  </w:r>
                  <w:r w:rsidRPr="009614F9">
                    <w:rPr>
                      <w:sz w:val="27"/>
                      <w:szCs w:val="27"/>
                    </w:rPr>
                    <w:t xml:space="preserve">на </w:t>
                  </w:r>
                  <w:r w:rsidR="009614F9" w:rsidRPr="009614F9">
                    <w:rPr>
                      <w:sz w:val="27"/>
                      <w:szCs w:val="27"/>
                    </w:rPr>
                    <w:t>2,2</w:t>
                  </w:r>
                  <w:r w:rsidRPr="009614F9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9614F9">
                    <w:rPr>
                      <w:sz w:val="27"/>
                      <w:szCs w:val="27"/>
                    </w:rPr>
                    <w:t>пп</w:t>
                  </w:r>
                  <w:proofErr w:type="spellEnd"/>
                  <w:r w:rsidRPr="009614F9">
                    <w:rPr>
                      <w:sz w:val="27"/>
                      <w:szCs w:val="27"/>
                    </w:rPr>
                    <w:t>.</w:t>
                  </w:r>
                </w:p>
              </w:txbxContent>
            </v:textbox>
          </v:roundrect>
        </w:pict>
      </w:r>
      <w:r w:rsidR="00FB6DF2"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8255</wp:posOffset>
            </wp:positionV>
            <wp:extent cx="4784090" cy="2838450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Pr="008B5C49" w:rsidRDefault="00912210" w:rsidP="00FF233C">
      <w:pPr>
        <w:pStyle w:val="3"/>
        <w:rPr>
          <w:rFonts w:ascii="Times New Roman" w:hAnsi="Times New Roman" w:cs="Times New Roman"/>
          <w:b w:val="0"/>
          <w:color w:val="FF0000"/>
          <w:sz w:val="27"/>
          <w:szCs w:val="27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3F7757" w:rsidP="00896490">
      <w:r>
        <w:rPr>
          <w:noProof/>
        </w:rPr>
        <w:pict>
          <v:roundrect id="_x0000_s1096" style="position:absolute;margin-left:-3.65pt;margin-top:8.95pt;width:574.7pt;height:109.55pt;z-index:251666432;mso-width-relative:margin;mso-height-relative:margin" arcsize="10923f" strokecolor="#9bbb59" strokeweight="2.5pt">
            <v:shadow color="#868686"/>
            <v:textbox style="mso-next-textbox:#_x0000_s1096">
              <w:txbxContent>
                <w:p w:rsidR="002A14A3" w:rsidRPr="00636D9B" w:rsidRDefault="002A14A3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2A14A3" w:rsidRPr="00CA2204" w:rsidRDefault="002A14A3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231BEB">
                    <w:rPr>
                      <w:sz w:val="27"/>
                      <w:szCs w:val="27"/>
                    </w:rPr>
                    <w:t xml:space="preserve">Инвестиции в основной капитал за январь-июнь 2017 года составили </w:t>
                  </w:r>
                  <w:r w:rsidR="00231BEB" w:rsidRPr="00231BEB">
                    <w:rPr>
                      <w:sz w:val="27"/>
                      <w:szCs w:val="27"/>
                    </w:rPr>
                    <w:t xml:space="preserve">33,8 </w:t>
                  </w:r>
                  <w:r w:rsidRPr="00231BEB">
                    <w:rPr>
                      <w:sz w:val="27"/>
                      <w:szCs w:val="27"/>
                    </w:rPr>
                    <w:t xml:space="preserve">млрд. руб. </w:t>
                  </w:r>
                  <w:r w:rsidRPr="00902B46">
                    <w:rPr>
                      <w:sz w:val="27"/>
                      <w:szCs w:val="27"/>
                    </w:rPr>
                    <w:t xml:space="preserve">Наибольшую долю в структуре инвестиций в основной капитал занимают инвестиции: </w:t>
                  </w:r>
                  <w:r w:rsidR="008B19AC" w:rsidRPr="008B19AC">
                    <w:rPr>
                      <w:sz w:val="27"/>
                      <w:szCs w:val="27"/>
                    </w:rPr>
                    <w:t>в профессиональную, научную и техническую деятельность (</w:t>
                  </w:r>
                  <w:r w:rsidR="006B2992">
                    <w:rPr>
                      <w:sz w:val="27"/>
                      <w:szCs w:val="27"/>
                    </w:rPr>
                    <w:t>31,9</w:t>
                  </w:r>
                  <w:r w:rsidR="008B19AC" w:rsidRPr="008B19AC">
                    <w:rPr>
                      <w:sz w:val="27"/>
                      <w:szCs w:val="27"/>
                    </w:rPr>
                    <w:t xml:space="preserve">%), </w:t>
                  </w:r>
                  <w:r w:rsidRPr="008B19AC">
                    <w:rPr>
                      <w:sz w:val="27"/>
                      <w:szCs w:val="27"/>
                    </w:rPr>
                    <w:t>в обрабатывающую промышленность (</w:t>
                  </w:r>
                  <w:r w:rsidR="008B19AC" w:rsidRPr="008B19AC">
                    <w:rPr>
                      <w:sz w:val="27"/>
                      <w:szCs w:val="27"/>
                    </w:rPr>
                    <w:t>18,6</w:t>
                  </w:r>
                  <w:r w:rsidRPr="008B19AC">
                    <w:rPr>
                      <w:sz w:val="27"/>
                      <w:szCs w:val="27"/>
                    </w:rPr>
                    <w:t xml:space="preserve">%), </w:t>
                  </w:r>
                  <w:r w:rsidRPr="007066B6">
                    <w:rPr>
                      <w:sz w:val="27"/>
                      <w:szCs w:val="27"/>
                    </w:rPr>
                    <w:t>в транспортировку и хранение (</w:t>
                  </w:r>
                  <w:r w:rsidR="007066B6" w:rsidRPr="007066B6">
                    <w:rPr>
                      <w:sz w:val="27"/>
                      <w:szCs w:val="27"/>
                    </w:rPr>
                    <w:t>15,</w:t>
                  </w:r>
                  <w:r w:rsidRPr="007066B6">
                    <w:rPr>
                      <w:sz w:val="27"/>
                      <w:szCs w:val="27"/>
                    </w:rPr>
                    <w:t>1%).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1D7D24" w:rsidRDefault="001D7D24" w:rsidP="004A1548"/>
    <w:p w:rsidR="001D7D24" w:rsidRDefault="001D7D24" w:rsidP="004A1548"/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3F7757" w:rsidP="004A1548">
      <w:r>
        <w:rPr>
          <w:noProof/>
        </w:rPr>
        <w:pict>
          <v:roundrect id="_x0000_s1088" style="position:absolute;margin-left:0;margin-top:4.25pt;width:4in;height:185pt;z-index:251663360" arcsize="10923f" o:regroupid="2" filled="f" strokecolor="#9c0" strokeweight="2.25pt">
            <v:textbox style="mso-next-textbox:#_x0000_s1088">
              <w:txbxContent>
                <w:p w:rsidR="002A14A3" w:rsidRPr="00401C33" w:rsidRDefault="002A14A3" w:rsidP="006E7EB7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540"/>
                    </w:tabs>
                    <w:ind w:left="567" w:hanging="567"/>
                    <w:jc w:val="both"/>
                    <w:rPr>
                      <w:sz w:val="10"/>
                      <w:szCs w:val="10"/>
                    </w:rPr>
                  </w:pPr>
                  <w:r w:rsidRPr="00401C33">
                    <w:rPr>
                      <w:sz w:val="27"/>
                      <w:szCs w:val="27"/>
                    </w:rPr>
                    <w:t xml:space="preserve">Объем ввода жилья в </w:t>
                  </w:r>
                  <w:proofErr w:type="gramStart"/>
                  <w:r w:rsidRPr="00401C33">
                    <w:rPr>
                      <w:sz w:val="27"/>
                      <w:szCs w:val="27"/>
                    </w:rPr>
                    <w:t>июле</w:t>
                  </w:r>
                  <w:proofErr w:type="gramEnd"/>
                  <w:r w:rsidRPr="00401C33">
                    <w:rPr>
                      <w:sz w:val="27"/>
                      <w:szCs w:val="27"/>
                    </w:rPr>
                    <w:t xml:space="preserve"> 2017 года составил 3,4 тыс. кв.м., все </w:t>
                  </w:r>
                  <w:r w:rsidR="007974A7">
                    <w:rPr>
                      <w:sz w:val="27"/>
                      <w:szCs w:val="27"/>
                    </w:rPr>
                    <w:t>жилье</w:t>
                  </w:r>
                  <w:r w:rsidRPr="00401C33">
                    <w:rPr>
                      <w:sz w:val="27"/>
                      <w:szCs w:val="27"/>
                    </w:rPr>
                    <w:t xml:space="preserve"> было построено населением (ИЖС).</w:t>
                  </w:r>
                </w:p>
                <w:p w:rsidR="002A14A3" w:rsidRPr="00916D20" w:rsidRDefault="002A14A3" w:rsidP="00891661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ind w:left="567" w:hanging="567"/>
                    <w:jc w:val="both"/>
                    <w:rPr>
                      <w:sz w:val="27"/>
                      <w:szCs w:val="27"/>
                    </w:rPr>
                  </w:pPr>
                  <w:r w:rsidRPr="00916D20">
                    <w:rPr>
                      <w:sz w:val="27"/>
                      <w:szCs w:val="27"/>
                    </w:rPr>
                    <w:t>В июле 2017 года</w:t>
                  </w:r>
                  <w:r w:rsidR="00916D20" w:rsidRPr="00916D20">
                    <w:rPr>
                      <w:sz w:val="27"/>
                      <w:szCs w:val="27"/>
                    </w:rPr>
                    <w:t xml:space="preserve"> к июню 2017 года </w:t>
                  </w:r>
                  <w:r w:rsidRPr="00916D20">
                    <w:rPr>
                      <w:sz w:val="27"/>
                      <w:szCs w:val="27"/>
                    </w:rPr>
                    <w:t>наблюда</w:t>
                  </w:r>
                  <w:r w:rsidR="006964AC">
                    <w:rPr>
                      <w:sz w:val="27"/>
                      <w:szCs w:val="27"/>
                    </w:rPr>
                    <w:t>лось</w:t>
                  </w:r>
                  <w:r w:rsidRPr="00916D20">
                    <w:rPr>
                      <w:sz w:val="27"/>
                      <w:szCs w:val="27"/>
                    </w:rPr>
                    <w:t xml:space="preserve"> </w:t>
                  </w:r>
                  <w:r w:rsidR="006964AC">
                    <w:rPr>
                      <w:sz w:val="27"/>
                      <w:szCs w:val="27"/>
                    </w:rPr>
                    <w:t>снижение</w:t>
                  </w:r>
                  <w:r w:rsidRPr="00916D20">
                    <w:rPr>
                      <w:sz w:val="27"/>
                      <w:szCs w:val="27"/>
                    </w:rPr>
                    <w:t xml:space="preserve"> объем</w:t>
                  </w:r>
                  <w:r w:rsidR="003514CC">
                    <w:rPr>
                      <w:sz w:val="27"/>
                      <w:szCs w:val="27"/>
                    </w:rPr>
                    <w:t>ов</w:t>
                  </w:r>
                  <w:r w:rsidRPr="00916D20">
                    <w:rPr>
                      <w:sz w:val="27"/>
                      <w:szCs w:val="27"/>
                    </w:rPr>
                    <w:t xml:space="preserve"> оборота розничной торговли</w:t>
                  </w:r>
                  <w:r w:rsidRPr="00916D20">
                    <w:rPr>
                      <w:color w:val="000000"/>
                      <w:sz w:val="20"/>
                      <w:szCs w:val="27"/>
                    </w:rPr>
                    <w:t xml:space="preserve"> </w:t>
                  </w:r>
                  <w:r w:rsidRPr="00916D20">
                    <w:rPr>
                      <w:color w:val="000000"/>
                      <w:sz w:val="27"/>
                      <w:szCs w:val="27"/>
                    </w:rPr>
                    <w:t xml:space="preserve">на </w:t>
                  </w:r>
                  <w:r w:rsidR="00916D20" w:rsidRPr="00916D20">
                    <w:rPr>
                      <w:color w:val="000000"/>
                      <w:sz w:val="27"/>
                      <w:szCs w:val="27"/>
                    </w:rPr>
                    <w:t>1,8</w:t>
                  </w:r>
                  <w:r w:rsidRPr="00916D20">
                    <w:rPr>
                      <w:color w:val="000000"/>
                      <w:sz w:val="27"/>
                      <w:szCs w:val="27"/>
                    </w:rPr>
                    <w:t xml:space="preserve">% и </w:t>
                  </w:r>
                  <w:r w:rsidRPr="00916D20">
                    <w:rPr>
                      <w:sz w:val="27"/>
                      <w:szCs w:val="27"/>
                    </w:rPr>
                    <w:t xml:space="preserve">общественного питания </w:t>
                  </w:r>
                  <w:r w:rsidR="006964AC" w:rsidRPr="00916D20">
                    <w:rPr>
                      <w:sz w:val="27"/>
                      <w:szCs w:val="27"/>
                    </w:rPr>
                    <w:t>на 11,1%</w:t>
                  </w:r>
                  <w:r w:rsidR="006964AC">
                    <w:rPr>
                      <w:sz w:val="27"/>
                      <w:szCs w:val="27"/>
                    </w:rPr>
                    <w:t xml:space="preserve"> </w:t>
                  </w:r>
                  <w:r w:rsidRPr="00916D20">
                    <w:rPr>
                      <w:sz w:val="27"/>
                      <w:szCs w:val="27"/>
                    </w:rPr>
                    <w:t>по крупным и средним организациям</w:t>
                  </w:r>
                  <w:r w:rsidR="008C0D8D">
                    <w:rPr>
                      <w:sz w:val="27"/>
                      <w:szCs w:val="27"/>
                    </w:rPr>
                    <w:t>,</w:t>
                  </w:r>
                  <w:r w:rsidR="00916D20">
                    <w:rPr>
                      <w:sz w:val="27"/>
                      <w:szCs w:val="27"/>
                    </w:rPr>
                    <w:t xml:space="preserve"> </w:t>
                  </w:r>
                  <w:r w:rsidR="00CB428C">
                    <w:rPr>
                      <w:sz w:val="27"/>
                      <w:szCs w:val="27"/>
                    </w:rPr>
                    <w:br/>
                  </w:r>
                  <w:r w:rsidR="008C0D8D">
                    <w:rPr>
                      <w:sz w:val="27"/>
                      <w:szCs w:val="27"/>
                    </w:rPr>
                    <w:t>к</w:t>
                  </w:r>
                  <w:r w:rsidR="00916D20">
                    <w:rPr>
                      <w:sz w:val="27"/>
                      <w:szCs w:val="27"/>
                    </w:rPr>
                    <w:t xml:space="preserve"> июлю 2016 года отмечался </w:t>
                  </w:r>
                  <w:r w:rsidR="008C0D8D">
                    <w:rPr>
                      <w:sz w:val="27"/>
                      <w:szCs w:val="27"/>
                    </w:rPr>
                    <w:t xml:space="preserve">их </w:t>
                  </w:r>
                  <w:r w:rsidR="00916D20">
                    <w:rPr>
                      <w:sz w:val="27"/>
                      <w:szCs w:val="27"/>
                    </w:rPr>
                    <w:t>рост</w:t>
                  </w:r>
                  <w:r w:rsidR="006964AC">
                    <w:rPr>
                      <w:sz w:val="27"/>
                      <w:szCs w:val="27"/>
                    </w:rPr>
                    <w:t xml:space="preserve"> </w:t>
                  </w:r>
                  <w:r w:rsidR="008C0D8D">
                    <w:rPr>
                      <w:sz w:val="27"/>
                      <w:szCs w:val="27"/>
                    </w:rPr>
                    <w:t xml:space="preserve"> </w:t>
                  </w:r>
                  <w:r w:rsidR="00916D20">
                    <w:rPr>
                      <w:sz w:val="27"/>
                      <w:szCs w:val="27"/>
                    </w:rPr>
                    <w:t xml:space="preserve"> на 17,3% и 9,4%</w:t>
                  </w:r>
                  <w:r w:rsidR="008C0D8D">
                    <w:rPr>
                      <w:sz w:val="27"/>
                      <w:szCs w:val="27"/>
                    </w:rPr>
                    <w:t xml:space="preserve"> соответственно.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87" style="position:absolute;margin-left:297pt;margin-top:12.8pt;width:450pt;height:204.5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2A14A3" w:rsidRPr="00443FEE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2A14A3" w:rsidRPr="00443FEE" w:rsidRDefault="002A14A3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2A14A3" w:rsidRDefault="002A14A3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июль</w:t>
                        </w:r>
                      </w:p>
                      <w:p w:rsidR="002A14A3" w:rsidRPr="00443FEE" w:rsidRDefault="002A14A3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2A14A3" w:rsidRPr="00810CCD" w:rsidRDefault="002A14A3" w:rsidP="005C3B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июню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2A14A3" w:rsidRPr="00810CCD" w:rsidRDefault="002A14A3" w:rsidP="005C3B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июлю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2A14A3" w:rsidRPr="00443FEE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443FEE" w:rsidRDefault="002A14A3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443FEE" w:rsidRDefault="002A14A3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810CCD" w:rsidRDefault="002A14A3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810CCD" w:rsidRDefault="002A14A3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810CCD" w:rsidRDefault="002A14A3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2A14A3" w:rsidRPr="00810CCD" w:rsidRDefault="002A14A3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2A14A3" w:rsidRPr="00E3603F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E71483" w:rsidRDefault="002A14A3" w:rsidP="004F64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E71483">
                          <w:rPr>
                            <w:color w:val="000000"/>
                            <w:sz w:val="20"/>
                          </w:rPr>
                          <w:t>Ввод в действие жилья, тыс. кв</w:t>
                        </w:r>
                        <w:proofErr w:type="gramStart"/>
                        <w:r w:rsidRPr="00E71483">
                          <w:rPr>
                            <w:color w:val="000000"/>
                            <w:sz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5C3B34" w:rsidRDefault="002A14A3" w:rsidP="00E7148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  <w:highlight w:val="yellow"/>
                          </w:rPr>
                        </w:pPr>
                        <w:r w:rsidRPr="00E71483"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Pr="00E71483"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E71483" w:rsidRDefault="002A14A3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18,2</w:t>
                        </w:r>
                        <w:r w:rsidRPr="00E71483">
                          <w:rPr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E71483" w:rsidRDefault="002A14A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7148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E71483" w:rsidRDefault="002A14A3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E71483">
                          <w:rPr>
                            <w:bCs/>
                            <w:sz w:val="20"/>
                          </w:rPr>
                          <w:t>17,1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E71483" w:rsidRDefault="002A14A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E71483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2A14A3" w:rsidRPr="00020266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A14A3" w:rsidRPr="005C3B34" w:rsidRDefault="002A14A3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  <w:highlight w:val="yellow"/>
                          </w:rPr>
                        </w:pPr>
                        <w:r w:rsidRPr="00222490">
                          <w:rPr>
                            <w:color w:val="000000"/>
                            <w:sz w:val="20"/>
                          </w:rPr>
                          <w:t>Оборот розничной торговли по крупным и средним организациям, млрд</w:t>
                        </w:r>
                        <w:proofErr w:type="gramStart"/>
                        <w:r w:rsidRPr="00222490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222490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A14A3" w:rsidRPr="00222490" w:rsidRDefault="002A14A3" w:rsidP="0022249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222490">
                          <w:rPr>
                            <w:sz w:val="20"/>
                          </w:rPr>
                          <w:t>14,</w:t>
                        </w:r>
                        <w:r w:rsidR="00222490" w:rsidRPr="00222490"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A14A3" w:rsidRPr="00222490" w:rsidRDefault="00222490" w:rsidP="00297BF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222490">
                          <w:rPr>
                            <w:sz w:val="20"/>
                          </w:rPr>
                          <w:t>98,2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A14A3" w:rsidRPr="00222490" w:rsidRDefault="002A14A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222490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t>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A14A3" w:rsidRPr="00B20FD4" w:rsidRDefault="002A14A3" w:rsidP="00B20FD4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B20FD4">
                          <w:rPr>
                            <w:bCs/>
                            <w:sz w:val="20"/>
                          </w:rPr>
                          <w:t>11</w:t>
                        </w:r>
                        <w:r w:rsidR="00B20FD4" w:rsidRPr="00B20FD4">
                          <w:rPr>
                            <w:bCs/>
                            <w:sz w:val="20"/>
                          </w:rPr>
                          <w:t>7</w:t>
                        </w:r>
                        <w:r w:rsidRPr="00B20FD4">
                          <w:rPr>
                            <w:bCs/>
                            <w:sz w:val="20"/>
                          </w:rPr>
                          <w:t>,3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2A14A3" w:rsidRPr="00B20FD4" w:rsidRDefault="002A14A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B20FD4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2A14A3" w:rsidRPr="00020266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746674" w:rsidRDefault="002A14A3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746674">
                          <w:rPr>
                            <w:color w:val="000000"/>
                            <w:sz w:val="20"/>
                          </w:rPr>
                          <w:t>Оборот общественного питания крупным и средним организациям, млрд</w:t>
                        </w:r>
                        <w:proofErr w:type="gramStart"/>
                        <w:r w:rsidRPr="00746674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746674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746674" w:rsidRDefault="00746674" w:rsidP="0002026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746674">
                          <w:rPr>
                            <w:sz w:val="20"/>
                          </w:rPr>
                          <w:t>0,35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746674" w:rsidRDefault="002A14A3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746674">
                          <w:rPr>
                            <w:sz w:val="20"/>
                          </w:rPr>
                          <w:t>88,9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746674" w:rsidRDefault="002A14A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746674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746674" w:rsidRDefault="00746674" w:rsidP="004B639A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746674">
                          <w:rPr>
                            <w:bCs/>
                            <w:sz w:val="20"/>
                          </w:rPr>
                          <w:t>109,4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2A14A3" w:rsidRPr="00746674" w:rsidRDefault="002A14A3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746674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2A14A3" w:rsidRDefault="002A14A3" w:rsidP="00790248"/>
              </w:txbxContent>
            </v:textbox>
          </v: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DF6324" w:rsidRDefault="00DF6324" w:rsidP="004A1548"/>
    <w:p w:rsidR="00297BF3" w:rsidRDefault="00297BF3" w:rsidP="004A1548"/>
    <w:p w:rsidR="00297BF3" w:rsidRDefault="00297BF3" w:rsidP="004A1548"/>
    <w:p w:rsidR="00FF0B54" w:rsidRDefault="00FF0B54" w:rsidP="004A1548"/>
    <w:p w:rsidR="00DF6324" w:rsidRDefault="00DF6324" w:rsidP="004A1548"/>
    <w:p w:rsidR="00A62515" w:rsidRDefault="00A62515" w:rsidP="004A1548"/>
    <w:p w:rsidR="00DF6324" w:rsidRDefault="00DF6324" w:rsidP="004A1548"/>
    <w:p w:rsidR="009F1B7A" w:rsidRDefault="009F1B7A" w:rsidP="004A1548"/>
    <w:p w:rsidR="001D7D24" w:rsidRDefault="001D7D24" w:rsidP="004A1548"/>
    <w:p w:rsidR="009F1B7A" w:rsidRDefault="009F1B7A" w:rsidP="004A1548"/>
    <w:p w:rsidR="00BD6FDA" w:rsidRDefault="00BD6FDA" w:rsidP="004A1548"/>
    <w:p w:rsidR="00FF0B54" w:rsidRDefault="00FF0B54" w:rsidP="004A1548"/>
    <w:p w:rsidR="00232CC8" w:rsidRPr="00F44BBC" w:rsidRDefault="003F7757" w:rsidP="00232CC8">
      <w:pPr>
        <w:pStyle w:val="3"/>
        <w:rPr>
          <w:color w:val="FF0000"/>
          <w:sz w:val="32"/>
          <w:szCs w:val="32"/>
        </w:rPr>
      </w:pPr>
      <w:r w:rsidRPr="003F7757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3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1"/>
                  </w:tblGrid>
                  <w:tr w:rsidR="002A14A3" w:rsidRPr="00DE7F3A" w:rsidTr="009B7800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2A14A3" w:rsidRPr="00DE7F3A" w:rsidRDefault="002A14A3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DE7F3A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2A14A3" w:rsidRPr="00DE7F3A" w:rsidRDefault="002A14A3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июль</w:t>
                        </w:r>
                      </w:p>
                      <w:p w:rsidR="002A14A3" w:rsidRPr="00DE7F3A" w:rsidRDefault="002A14A3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2A14A3" w:rsidRPr="00DE7F3A" w:rsidRDefault="002A14A3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</w:tcPr>
                      <w:p w:rsidR="002A14A3" w:rsidRPr="00DE7F3A" w:rsidRDefault="002A14A3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январь-</w:t>
                        </w:r>
                        <w:r>
                          <w:rPr>
                            <w:b/>
                            <w:sz w:val="20"/>
                          </w:rPr>
                          <w:t>июль</w:t>
                        </w:r>
                      </w:p>
                      <w:p w:rsidR="002A14A3" w:rsidRPr="00DE7F3A" w:rsidRDefault="002A14A3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2A14A3" w:rsidRPr="00DE7F3A" w:rsidRDefault="002A14A3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</w:tr>
                  <w:tr w:rsidR="002A14A3" w:rsidRPr="00DE7F3A" w:rsidTr="00935490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2A14A3" w:rsidRPr="0089580A" w:rsidRDefault="002A14A3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9580A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2A14A3" w:rsidRPr="00E373CB" w:rsidRDefault="00E373CB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373CB">
                          <w:rPr>
                            <w:sz w:val="20"/>
                          </w:rPr>
                          <w:t>769,4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2A14A3" w:rsidRPr="00E373CB" w:rsidRDefault="00E373CB" w:rsidP="0093549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E373CB">
                          <w:rPr>
                            <w:sz w:val="20"/>
                          </w:rPr>
                          <w:t>3 370,1</w:t>
                        </w:r>
                      </w:p>
                    </w:tc>
                  </w:tr>
                  <w:tr w:rsidR="002A14A3" w:rsidRPr="00DE7F3A" w:rsidTr="00935490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2A14A3" w:rsidRPr="0089580A" w:rsidRDefault="002A14A3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9580A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2A14A3" w:rsidRPr="00E373CB" w:rsidRDefault="00E373CB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73CB">
                          <w:rPr>
                            <w:sz w:val="20"/>
                            <w:szCs w:val="20"/>
                          </w:rPr>
                          <w:t>762,8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2A14A3" w:rsidRPr="00E373CB" w:rsidRDefault="00E373CB" w:rsidP="0093549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373CB">
                          <w:rPr>
                            <w:sz w:val="20"/>
                            <w:szCs w:val="20"/>
                          </w:rPr>
                          <w:t>3 107,8</w:t>
                        </w:r>
                      </w:p>
                    </w:tc>
                  </w:tr>
                  <w:tr w:rsidR="002A14A3" w:rsidRPr="008A5D37" w:rsidTr="00935490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2A14A3" w:rsidRPr="0089580A" w:rsidRDefault="002A14A3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9580A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2A14A3" w:rsidRPr="00C33928" w:rsidRDefault="00C33928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3928">
                          <w:rPr>
                            <w:sz w:val="20"/>
                            <w:szCs w:val="20"/>
                          </w:rPr>
                          <w:t>6,6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2A14A3" w:rsidRPr="00C33928" w:rsidRDefault="00C33928" w:rsidP="0093549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3928">
                          <w:rPr>
                            <w:sz w:val="20"/>
                            <w:szCs w:val="20"/>
                          </w:rPr>
                          <w:t>262,2</w:t>
                        </w:r>
                      </w:p>
                    </w:tc>
                  </w:tr>
                </w:tbl>
                <w:p w:rsidR="002A14A3" w:rsidRDefault="002A14A3" w:rsidP="00702812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3F7757" w:rsidP="00232CC8">
      <w:r>
        <w:rPr>
          <w:noProof/>
        </w:rPr>
        <w:pict>
          <v:roundrect id="_x0000_s1070" style="position:absolute;margin-left:0;margin-top:6.3pt;width:4in;height:120.5pt;z-index:251658240" arcsize="10923f" filled="f" strokecolor="#9c0" strokeweight="2.25pt">
            <v:textbox style="mso-next-textbox:#_x0000_s1070">
              <w:txbxContent>
                <w:p w:rsidR="002A14A3" w:rsidRPr="00A869E2" w:rsidRDefault="002A14A3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A869E2">
                    <w:rPr>
                      <w:sz w:val="26"/>
                      <w:szCs w:val="26"/>
                    </w:rPr>
                    <w:t xml:space="preserve">За январь-июль 2017 года было заключено муниципальных контрактов на поставку товаров (оказание услуг, выполнение работ) на общую сумму </w:t>
                  </w:r>
                  <w:r w:rsidR="00A869E2" w:rsidRPr="00A869E2">
                    <w:rPr>
                      <w:sz w:val="26"/>
                      <w:szCs w:val="26"/>
                    </w:rPr>
                    <w:t>3 107,8</w:t>
                  </w:r>
                  <w:r w:rsidRPr="00A869E2">
                    <w:rPr>
                      <w:sz w:val="26"/>
                      <w:szCs w:val="26"/>
                    </w:rPr>
                    <w:t xml:space="preserve"> млн. руб.</w:t>
                  </w:r>
                </w:p>
                <w:p w:rsidR="002A14A3" w:rsidRPr="00984BB3" w:rsidRDefault="002A14A3" w:rsidP="00845A3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984BB3">
                    <w:rPr>
                      <w:sz w:val="26"/>
                      <w:szCs w:val="26"/>
                    </w:rPr>
                    <w:t xml:space="preserve">Экономия бюджетных средств за январь-июль 2017 года составила </w:t>
                  </w:r>
                  <w:r w:rsidR="00984BB3" w:rsidRPr="00984BB3">
                    <w:rPr>
                      <w:sz w:val="26"/>
                      <w:szCs w:val="26"/>
                    </w:rPr>
                    <w:t>262,2</w:t>
                  </w:r>
                  <w:r w:rsidRPr="00984BB3">
                    <w:rPr>
                      <w:sz w:val="26"/>
                      <w:szCs w:val="26"/>
                    </w:rPr>
                    <w:t xml:space="preserve"> млн. руб.</w:t>
                  </w: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ДЭРП</w:t>
      </w:r>
      <w:r w:rsidR="00442784">
        <w:rPr>
          <w:rFonts w:ascii="Times New Roman" w:hAnsi="Times New Roman" w:cs="Times New Roman"/>
          <w:b w:val="0"/>
          <w:sz w:val="18"/>
          <w:szCs w:val="18"/>
        </w:rPr>
        <w:t>иЗ</w:t>
      </w:r>
    </w:p>
    <w:p w:rsidR="00EC0797" w:rsidRDefault="00EC0797" w:rsidP="00EC0797"/>
    <w:p w:rsidR="005A7767" w:rsidRDefault="005A7767" w:rsidP="00A17DA1">
      <w:pPr>
        <w:tabs>
          <w:tab w:val="left" w:pos="5175"/>
        </w:tabs>
      </w:pPr>
    </w:p>
    <w:p w:rsidR="003E6512" w:rsidRDefault="003E6512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5051318</wp:posOffset>
            </wp:positionH>
            <wp:positionV relativeFrom="paragraph">
              <wp:posOffset>-345</wp:posOffset>
            </wp:positionV>
            <wp:extent cx="4524498" cy="2660072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3F7757" w:rsidP="00A019A4">
      <w:r>
        <w:rPr>
          <w:noProof/>
        </w:rPr>
        <w:pict>
          <v:roundrect id="_x0000_s1076" style="position:absolute;margin-left:-17.25pt;margin-top:13.05pt;width:431.05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2A14A3" w:rsidRPr="004821E6" w:rsidRDefault="002A14A3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4821E6">
                    <w:rPr>
                      <w:b/>
                      <w:sz w:val="26"/>
                      <w:szCs w:val="26"/>
                    </w:rPr>
                    <w:t>На 1.08.2017 года</w:t>
                  </w:r>
                  <w:r w:rsidRPr="004821E6">
                    <w:rPr>
                      <w:sz w:val="26"/>
                      <w:szCs w:val="26"/>
                    </w:rPr>
                    <w:t xml:space="preserve"> собственные доходы бюджета города исполнены на </w:t>
                  </w:r>
                  <w:r w:rsidR="004821E6" w:rsidRPr="004821E6">
                    <w:rPr>
                      <w:sz w:val="26"/>
                      <w:szCs w:val="26"/>
                    </w:rPr>
                    <w:t>49,9</w:t>
                  </w:r>
                  <w:r w:rsidRPr="004821E6">
                    <w:rPr>
                      <w:sz w:val="26"/>
                      <w:szCs w:val="26"/>
                    </w:rPr>
                    <w:t xml:space="preserve">%, расходы – на </w:t>
                  </w:r>
                  <w:r w:rsidR="008A6685" w:rsidRPr="004821E6">
                    <w:rPr>
                      <w:sz w:val="26"/>
                      <w:szCs w:val="26"/>
                    </w:rPr>
                    <w:t>53,2</w:t>
                  </w:r>
                  <w:r w:rsidRPr="004821E6">
                    <w:rPr>
                      <w:sz w:val="26"/>
                      <w:szCs w:val="26"/>
                    </w:rPr>
                    <w:t>%.</w:t>
                  </w:r>
                </w:p>
                <w:p w:rsidR="002A14A3" w:rsidRPr="00CE2F04" w:rsidRDefault="002A14A3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CE2F04">
                    <w:rPr>
                      <w:b/>
                      <w:sz w:val="26"/>
                      <w:szCs w:val="26"/>
                    </w:rPr>
                    <w:t>На 1.08.2017 года</w:t>
                  </w:r>
                  <w:r w:rsidRPr="00CE2F04">
                    <w:rPr>
                      <w:sz w:val="26"/>
                      <w:szCs w:val="26"/>
                    </w:rPr>
                    <w:t xml:space="preserve"> налоговые доходы составили </w:t>
                  </w:r>
                  <w:r w:rsidR="00CE2F04" w:rsidRPr="00CE2F04">
                    <w:rPr>
                      <w:sz w:val="26"/>
                      <w:szCs w:val="26"/>
                    </w:rPr>
                    <w:t xml:space="preserve">4 829,5 </w:t>
                  </w:r>
                  <w:r w:rsidRPr="00CE2F04">
                    <w:rPr>
                      <w:sz w:val="26"/>
                      <w:szCs w:val="26"/>
                    </w:rPr>
                    <w:t xml:space="preserve">млн. руб., неналоговые – </w:t>
                  </w:r>
                  <w:r w:rsidR="00CE2F04" w:rsidRPr="00CE2F04">
                    <w:rPr>
                      <w:sz w:val="26"/>
                      <w:szCs w:val="26"/>
                    </w:rPr>
                    <w:t>2 059,8</w:t>
                  </w:r>
                  <w:r w:rsidRPr="00CE2F04">
                    <w:rPr>
                      <w:sz w:val="26"/>
                      <w:szCs w:val="26"/>
                    </w:rPr>
                    <w:t xml:space="preserve">  млн. руб.</w:t>
                  </w:r>
                </w:p>
                <w:p w:rsidR="002A14A3" w:rsidRPr="00A06FC2" w:rsidRDefault="002A14A3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556F51">
                    <w:rPr>
                      <w:b/>
                      <w:sz w:val="26"/>
                      <w:szCs w:val="26"/>
                    </w:rPr>
                    <w:t>На 1.0</w:t>
                  </w:r>
                  <w:r>
                    <w:rPr>
                      <w:b/>
                      <w:sz w:val="26"/>
                      <w:szCs w:val="26"/>
                    </w:rPr>
                    <w:t>8</w:t>
                  </w:r>
                  <w:r w:rsidRPr="00556F51">
                    <w:rPr>
                      <w:b/>
                      <w:sz w:val="26"/>
                      <w:szCs w:val="26"/>
                    </w:rPr>
                    <w:t>.2017 года</w:t>
                  </w:r>
                  <w:r w:rsidRPr="00556F51">
                    <w:rPr>
                      <w:sz w:val="26"/>
                      <w:szCs w:val="26"/>
                    </w:rPr>
                    <w:t xml:space="preserve"> наибольшую долю в структуре расходов бюджета </w:t>
                  </w:r>
                  <w:r w:rsidRPr="00223607">
                    <w:rPr>
                      <w:sz w:val="26"/>
                      <w:szCs w:val="26"/>
                    </w:rPr>
                    <w:t>занимают расходы в сфере: образования (</w:t>
                  </w:r>
                  <w:r w:rsidR="00223607" w:rsidRPr="00223607">
                    <w:rPr>
                      <w:sz w:val="26"/>
                      <w:szCs w:val="26"/>
                    </w:rPr>
                    <w:t>48</w:t>
                  </w:r>
                  <w:r w:rsidRPr="00223607">
                    <w:rPr>
                      <w:sz w:val="26"/>
                      <w:szCs w:val="26"/>
                    </w:rPr>
                    <w:t>%), национальной экономики (</w:t>
                  </w:r>
                  <w:r w:rsidR="00223607" w:rsidRPr="00223607">
                    <w:rPr>
                      <w:sz w:val="26"/>
                      <w:szCs w:val="26"/>
                    </w:rPr>
                    <w:t>33,9</w:t>
                  </w:r>
                  <w:r w:rsidRPr="00223607">
                    <w:rPr>
                      <w:sz w:val="26"/>
                      <w:szCs w:val="26"/>
                    </w:rPr>
                    <w:t>%), общегосударственных вопросов (4,</w:t>
                  </w:r>
                  <w:r w:rsidR="00223607" w:rsidRPr="00223607">
                    <w:rPr>
                      <w:sz w:val="26"/>
                      <w:szCs w:val="26"/>
                    </w:rPr>
                    <w:t>7</w:t>
                  </w:r>
                  <w:r w:rsidRPr="00223607">
                    <w:rPr>
                      <w:sz w:val="26"/>
                      <w:szCs w:val="26"/>
                    </w:rPr>
                    <w:t xml:space="preserve">%), </w:t>
                  </w:r>
                  <w:r w:rsidRPr="00A06FC2">
                    <w:rPr>
                      <w:sz w:val="26"/>
                      <w:szCs w:val="26"/>
                    </w:rPr>
                    <w:t>жилищно-коммунального хозяйства (</w:t>
                  </w:r>
                  <w:r w:rsidR="00A06FC2">
                    <w:rPr>
                      <w:sz w:val="26"/>
                      <w:szCs w:val="26"/>
                    </w:rPr>
                    <w:t>4,6</w:t>
                  </w:r>
                  <w:r w:rsidRPr="00A06FC2">
                    <w:rPr>
                      <w:sz w:val="26"/>
                      <w:szCs w:val="26"/>
                    </w:rPr>
                    <w:t>%).</w:t>
                  </w:r>
                </w:p>
              </w:txbxContent>
            </v:textbox>
          </v:roundrect>
        </w:pict>
      </w:r>
    </w:p>
    <w:sectPr w:rsidR="00896490" w:rsidRPr="00EC0797" w:rsidSect="00DA4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A3" w:rsidRDefault="002A14A3" w:rsidP="007041EB">
      <w:r>
        <w:separator/>
      </w:r>
    </w:p>
  </w:endnote>
  <w:endnote w:type="continuationSeparator" w:id="0">
    <w:p w:rsidR="002A14A3" w:rsidRDefault="002A14A3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A3" w:rsidRDefault="002A14A3" w:rsidP="007041EB">
      <w:r>
        <w:separator/>
      </w:r>
    </w:p>
  </w:footnote>
  <w:footnote w:type="continuationSeparator" w:id="0">
    <w:p w:rsidR="002A14A3" w:rsidRDefault="002A14A3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A3" w:rsidRDefault="003F7757">
    <w:pPr>
      <w:pStyle w:val="a8"/>
      <w:jc w:val="center"/>
    </w:pPr>
    <w:fldSimple w:instr=" PAGE   \* MERGEFORMAT ">
      <w:r w:rsidR="00CB428C">
        <w:rPr>
          <w:noProof/>
        </w:rPr>
        <w:t>5</w:t>
      </w:r>
    </w:fldSimple>
  </w:p>
  <w:p w:rsidR="002A14A3" w:rsidRDefault="002A14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A1"/>
    <w:multiLevelType w:val="hybridMultilevel"/>
    <w:tmpl w:val="5B20318E"/>
    <w:lvl w:ilvl="0" w:tplc="6AD6F1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340D"/>
    <w:multiLevelType w:val="hybridMultilevel"/>
    <w:tmpl w:val="F822DB7C"/>
    <w:lvl w:ilvl="0" w:tplc="D806D7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7"/>
        <w:szCs w:val="27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2D3"/>
    <w:multiLevelType w:val="hybridMultilevel"/>
    <w:tmpl w:val="D9729EDE"/>
    <w:lvl w:ilvl="0" w:tplc="D806D726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33EF2"/>
    <w:multiLevelType w:val="hybridMultilevel"/>
    <w:tmpl w:val="C33ED79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F"/>
    <w:rsid w:val="000007F7"/>
    <w:rsid w:val="00000FC8"/>
    <w:rsid w:val="00001250"/>
    <w:rsid w:val="00002039"/>
    <w:rsid w:val="000033D8"/>
    <w:rsid w:val="00003AD8"/>
    <w:rsid w:val="0000438B"/>
    <w:rsid w:val="00004436"/>
    <w:rsid w:val="00005493"/>
    <w:rsid w:val="000059B7"/>
    <w:rsid w:val="00005F6C"/>
    <w:rsid w:val="00005FE2"/>
    <w:rsid w:val="00006F87"/>
    <w:rsid w:val="00007686"/>
    <w:rsid w:val="00011416"/>
    <w:rsid w:val="00011446"/>
    <w:rsid w:val="00011CE8"/>
    <w:rsid w:val="00011F15"/>
    <w:rsid w:val="00012E45"/>
    <w:rsid w:val="000134FD"/>
    <w:rsid w:val="00014B60"/>
    <w:rsid w:val="000157E2"/>
    <w:rsid w:val="000168D8"/>
    <w:rsid w:val="00020266"/>
    <w:rsid w:val="00021230"/>
    <w:rsid w:val="000222F6"/>
    <w:rsid w:val="00022AAE"/>
    <w:rsid w:val="000231D3"/>
    <w:rsid w:val="000238A3"/>
    <w:rsid w:val="00026F88"/>
    <w:rsid w:val="000272C5"/>
    <w:rsid w:val="00027CB4"/>
    <w:rsid w:val="00030E7B"/>
    <w:rsid w:val="000315FD"/>
    <w:rsid w:val="00032602"/>
    <w:rsid w:val="000333EC"/>
    <w:rsid w:val="00033A87"/>
    <w:rsid w:val="000350B3"/>
    <w:rsid w:val="00037F94"/>
    <w:rsid w:val="00040451"/>
    <w:rsid w:val="000404D8"/>
    <w:rsid w:val="00041557"/>
    <w:rsid w:val="000425B4"/>
    <w:rsid w:val="000441F7"/>
    <w:rsid w:val="000447E2"/>
    <w:rsid w:val="0004757C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1EFB"/>
    <w:rsid w:val="00074C8E"/>
    <w:rsid w:val="000756EB"/>
    <w:rsid w:val="000761E0"/>
    <w:rsid w:val="00076D4C"/>
    <w:rsid w:val="00080B04"/>
    <w:rsid w:val="00081150"/>
    <w:rsid w:val="00081155"/>
    <w:rsid w:val="00081FB2"/>
    <w:rsid w:val="00082AC9"/>
    <w:rsid w:val="00082CF3"/>
    <w:rsid w:val="00083DFE"/>
    <w:rsid w:val="000846E1"/>
    <w:rsid w:val="00084E3F"/>
    <w:rsid w:val="000853B3"/>
    <w:rsid w:val="00085628"/>
    <w:rsid w:val="0008695C"/>
    <w:rsid w:val="00086F3B"/>
    <w:rsid w:val="00090843"/>
    <w:rsid w:val="00090D60"/>
    <w:rsid w:val="00090E0E"/>
    <w:rsid w:val="0009151F"/>
    <w:rsid w:val="000919ED"/>
    <w:rsid w:val="000929FD"/>
    <w:rsid w:val="00092F13"/>
    <w:rsid w:val="000936F3"/>
    <w:rsid w:val="00093962"/>
    <w:rsid w:val="00093CA5"/>
    <w:rsid w:val="00093FA0"/>
    <w:rsid w:val="0009552B"/>
    <w:rsid w:val="000956E7"/>
    <w:rsid w:val="00095B68"/>
    <w:rsid w:val="0009785D"/>
    <w:rsid w:val="000A00C8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159E"/>
    <w:rsid w:val="000B1E4E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73C"/>
    <w:rsid w:val="000D5A14"/>
    <w:rsid w:val="000D6658"/>
    <w:rsid w:val="000D6A71"/>
    <w:rsid w:val="000D765D"/>
    <w:rsid w:val="000E0431"/>
    <w:rsid w:val="000E0575"/>
    <w:rsid w:val="000E06D3"/>
    <w:rsid w:val="000E2577"/>
    <w:rsid w:val="000E336D"/>
    <w:rsid w:val="000E46E4"/>
    <w:rsid w:val="000E4D17"/>
    <w:rsid w:val="000E56F1"/>
    <w:rsid w:val="000E7339"/>
    <w:rsid w:val="000F04EF"/>
    <w:rsid w:val="000F23E2"/>
    <w:rsid w:val="000F24EC"/>
    <w:rsid w:val="000F411F"/>
    <w:rsid w:val="000F41B4"/>
    <w:rsid w:val="000F42E8"/>
    <w:rsid w:val="000F4E9B"/>
    <w:rsid w:val="000F679E"/>
    <w:rsid w:val="00100735"/>
    <w:rsid w:val="001014C2"/>
    <w:rsid w:val="001014FB"/>
    <w:rsid w:val="00101E07"/>
    <w:rsid w:val="00102092"/>
    <w:rsid w:val="00102096"/>
    <w:rsid w:val="0010240C"/>
    <w:rsid w:val="00102B96"/>
    <w:rsid w:val="0010387F"/>
    <w:rsid w:val="001039A4"/>
    <w:rsid w:val="00103C26"/>
    <w:rsid w:val="0010457A"/>
    <w:rsid w:val="00105957"/>
    <w:rsid w:val="00105A2D"/>
    <w:rsid w:val="0010779A"/>
    <w:rsid w:val="00107F04"/>
    <w:rsid w:val="00110AF1"/>
    <w:rsid w:val="00112398"/>
    <w:rsid w:val="001134FD"/>
    <w:rsid w:val="00113ACA"/>
    <w:rsid w:val="0011423C"/>
    <w:rsid w:val="00116986"/>
    <w:rsid w:val="001171AE"/>
    <w:rsid w:val="0011766F"/>
    <w:rsid w:val="001207D5"/>
    <w:rsid w:val="0012091D"/>
    <w:rsid w:val="00120975"/>
    <w:rsid w:val="00121206"/>
    <w:rsid w:val="00122CF8"/>
    <w:rsid w:val="001230DE"/>
    <w:rsid w:val="00124454"/>
    <w:rsid w:val="00124943"/>
    <w:rsid w:val="00124C32"/>
    <w:rsid w:val="001253D5"/>
    <w:rsid w:val="00125C08"/>
    <w:rsid w:val="001267FC"/>
    <w:rsid w:val="00126A53"/>
    <w:rsid w:val="0013111A"/>
    <w:rsid w:val="00132571"/>
    <w:rsid w:val="00132DB7"/>
    <w:rsid w:val="00133704"/>
    <w:rsid w:val="00135354"/>
    <w:rsid w:val="00136FBC"/>
    <w:rsid w:val="0013755E"/>
    <w:rsid w:val="00140102"/>
    <w:rsid w:val="00140BE1"/>
    <w:rsid w:val="00140F4A"/>
    <w:rsid w:val="001414B6"/>
    <w:rsid w:val="001423E0"/>
    <w:rsid w:val="00142E19"/>
    <w:rsid w:val="00143BFD"/>
    <w:rsid w:val="001447EE"/>
    <w:rsid w:val="00145625"/>
    <w:rsid w:val="001456C0"/>
    <w:rsid w:val="001457E3"/>
    <w:rsid w:val="00146C3E"/>
    <w:rsid w:val="001470B0"/>
    <w:rsid w:val="00150483"/>
    <w:rsid w:val="00152B11"/>
    <w:rsid w:val="00152E4B"/>
    <w:rsid w:val="00154946"/>
    <w:rsid w:val="0015589D"/>
    <w:rsid w:val="00156E62"/>
    <w:rsid w:val="00157454"/>
    <w:rsid w:val="0015756A"/>
    <w:rsid w:val="00161B2E"/>
    <w:rsid w:val="00161E50"/>
    <w:rsid w:val="001621A1"/>
    <w:rsid w:val="00162E83"/>
    <w:rsid w:val="001637D7"/>
    <w:rsid w:val="00163D06"/>
    <w:rsid w:val="00164C9B"/>
    <w:rsid w:val="00165C9B"/>
    <w:rsid w:val="0017152E"/>
    <w:rsid w:val="00171FEA"/>
    <w:rsid w:val="00172209"/>
    <w:rsid w:val="001723BA"/>
    <w:rsid w:val="0017303A"/>
    <w:rsid w:val="001758EA"/>
    <w:rsid w:val="00175DAC"/>
    <w:rsid w:val="00175DB4"/>
    <w:rsid w:val="00176852"/>
    <w:rsid w:val="00176B63"/>
    <w:rsid w:val="00177995"/>
    <w:rsid w:val="00177E0C"/>
    <w:rsid w:val="00180130"/>
    <w:rsid w:val="001801A1"/>
    <w:rsid w:val="00181A9F"/>
    <w:rsid w:val="001831BE"/>
    <w:rsid w:val="00184F0D"/>
    <w:rsid w:val="001854CE"/>
    <w:rsid w:val="0018567D"/>
    <w:rsid w:val="0018584A"/>
    <w:rsid w:val="00185F95"/>
    <w:rsid w:val="001875B1"/>
    <w:rsid w:val="00187C95"/>
    <w:rsid w:val="00190569"/>
    <w:rsid w:val="001911B6"/>
    <w:rsid w:val="001912E5"/>
    <w:rsid w:val="0019197B"/>
    <w:rsid w:val="00191985"/>
    <w:rsid w:val="00191E8E"/>
    <w:rsid w:val="00192F81"/>
    <w:rsid w:val="00194492"/>
    <w:rsid w:val="00195BC9"/>
    <w:rsid w:val="001965C4"/>
    <w:rsid w:val="0019687E"/>
    <w:rsid w:val="00196CCC"/>
    <w:rsid w:val="001971F8"/>
    <w:rsid w:val="001972FD"/>
    <w:rsid w:val="00197A94"/>
    <w:rsid w:val="00197AB3"/>
    <w:rsid w:val="001A04B6"/>
    <w:rsid w:val="001A10DC"/>
    <w:rsid w:val="001A1977"/>
    <w:rsid w:val="001A23AA"/>
    <w:rsid w:val="001A247B"/>
    <w:rsid w:val="001A27A3"/>
    <w:rsid w:val="001A2C11"/>
    <w:rsid w:val="001A490F"/>
    <w:rsid w:val="001A49C8"/>
    <w:rsid w:val="001A4CEC"/>
    <w:rsid w:val="001A4E81"/>
    <w:rsid w:val="001A5A73"/>
    <w:rsid w:val="001A63A4"/>
    <w:rsid w:val="001A7BFE"/>
    <w:rsid w:val="001B0855"/>
    <w:rsid w:val="001B0934"/>
    <w:rsid w:val="001B0A27"/>
    <w:rsid w:val="001B1CD0"/>
    <w:rsid w:val="001B1D1D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4E6"/>
    <w:rsid w:val="001B6CAB"/>
    <w:rsid w:val="001B7836"/>
    <w:rsid w:val="001B79A0"/>
    <w:rsid w:val="001C1CF1"/>
    <w:rsid w:val="001C31E0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5262"/>
    <w:rsid w:val="001D6044"/>
    <w:rsid w:val="001D60C3"/>
    <w:rsid w:val="001D6871"/>
    <w:rsid w:val="001D7D24"/>
    <w:rsid w:val="001E02EC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200FB1"/>
    <w:rsid w:val="00201C9E"/>
    <w:rsid w:val="00201F84"/>
    <w:rsid w:val="00205B44"/>
    <w:rsid w:val="002060AE"/>
    <w:rsid w:val="00207456"/>
    <w:rsid w:val="002109BC"/>
    <w:rsid w:val="00210C5A"/>
    <w:rsid w:val="00212357"/>
    <w:rsid w:val="0021253E"/>
    <w:rsid w:val="00213840"/>
    <w:rsid w:val="002141BC"/>
    <w:rsid w:val="002143EC"/>
    <w:rsid w:val="00215195"/>
    <w:rsid w:val="00215703"/>
    <w:rsid w:val="00215855"/>
    <w:rsid w:val="00215CBD"/>
    <w:rsid w:val="00215D81"/>
    <w:rsid w:val="002176B7"/>
    <w:rsid w:val="002201EA"/>
    <w:rsid w:val="00220400"/>
    <w:rsid w:val="00220A07"/>
    <w:rsid w:val="00221A87"/>
    <w:rsid w:val="00222025"/>
    <w:rsid w:val="00222490"/>
    <w:rsid w:val="00223607"/>
    <w:rsid w:val="002278EC"/>
    <w:rsid w:val="00231BEB"/>
    <w:rsid w:val="00232CC8"/>
    <w:rsid w:val="00233A76"/>
    <w:rsid w:val="00234260"/>
    <w:rsid w:val="0023533B"/>
    <w:rsid w:val="00236975"/>
    <w:rsid w:val="00236C9E"/>
    <w:rsid w:val="00241126"/>
    <w:rsid w:val="002413EF"/>
    <w:rsid w:val="00241717"/>
    <w:rsid w:val="002433A9"/>
    <w:rsid w:val="00243E38"/>
    <w:rsid w:val="00244F1B"/>
    <w:rsid w:val="00245BBB"/>
    <w:rsid w:val="00247BC0"/>
    <w:rsid w:val="002529E6"/>
    <w:rsid w:val="00254B9E"/>
    <w:rsid w:val="002550EA"/>
    <w:rsid w:val="002552A2"/>
    <w:rsid w:val="002559B9"/>
    <w:rsid w:val="00260354"/>
    <w:rsid w:val="002611A8"/>
    <w:rsid w:val="00261B7D"/>
    <w:rsid w:val="0026266A"/>
    <w:rsid w:val="00262715"/>
    <w:rsid w:val="00262BB7"/>
    <w:rsid w:val="00263802"/>
    <w:rsid w:val="002638D1"/>
    <w:rsid w:val="00263B47"/>
    <w:rsid w:val="00265651"/>
    <w:rsid w:val="00267E57"/>
    <w:rsid w:val="00270181"/>
    <w:rsid w:val="00271465"/>
    <w:rsid w:val="0027151E"/>
    <w:rsid w:val="002716D8"/>
    <w:rsid w:val="00272B32"/>
    <w:rsid w:val="002734D3"/>
    <w:rsid w:val="00275C29"/>
    <w:rsid w:val="00276252"/>
    <w:rsid w:val="00276A84"/>
    <w:rsid w:val="002771E2"/>
    <w:rsid w:val="00277230"/>
    <w:rsid w:val="00277416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9670F"/>
    <w:rsid w:val="00297BF3"/>
    <w:rsid w:val="002A04E3"/>
    <w:rsid w:val="002A14A3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316"/>
    <w:rsid w:val="002B64F0"/>
    <w:rsid w:val="002B749A"/>
    <w:rsid w:val="002C10D6"/>
    <w:rsid w:val="002C3CE2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6311"/>
    <w:rsid w:val="002D7014"/>
    <w:rsid w:val="002D7930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4488"/>
    <w:rsid w:val="002E5719"/>
    <w:rsid w:val="002E5BC7"/>
    <w:rsid w:val="002E6673"/>
    <w:rsid w:val="002F34A1"/>
    <w:rsid w:val="002F4F41"/>
    <w:rsid w:val="002F5F01"/>
    <w:rsid w:val="002F69D0"/>
    <w:rsid w:val="002F6EA8"/>
    <w:rsid w:val="00300A77"/>
    <w:rsid w:val="00300F50"/>
    <w:rsid w:val="00302795"/>
    <w:rsid w:val="00303CAC"/>
    <w:rsid w:val="00304C74"/>
    <w:rsid w:val="0030506C"/>
    <w:rsid w:val="0030569F"/>
    <w:rsid w:val="00305D6A"/>
    <w:rsid w:val="0030635D"/>
    <w:rsid w:val="00306EB4"/>
    <w:rsid w:val="003074AF"/>
    <w:rsid w:val="003117A7"/>
    <w:rsid w:val="00313A57"/>
    <w:rsid w:val="00314860"/>
    <w:rsid w:val="00314CDA"/>
    <w:rsid w:val="00315092"/>
    <w:rsid w:val="00315810"/>
    <w:rsid w:val="00316604"/>
    <w:rsid w:val="00317AC4"/>
    <w:rsid w:val="00317D93"/>
    <w:rsid w:val="00320279"/>
    <w:rsid w:val="0032235C"/>
    <w:rsid w:val="00322609"/>
    <w:rsid w:val="003226AB"/>
    <w:rsid w:val="003232D9"/>
    <w:rsid w:val="003237D0"/>
    <w:rsid w:val="00326A78"/>
    <w:rsid w:val="00326BA6"/>
    <w:rsid w:val="00326EAD"/>
    <w:rsid w:val="0032703F"/>
    <w:rsid w:val="00327238"/>
    <w:rsid w:val="00327B82"/>
    <w:rsid w:val="00330763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27EF"/>
    <w:rsid w:val="00343078"/>
    <w:rsid w:val="003438A6"/>
    <w:rsid w:val="00344115"/>
    <w:rsid w:val="00345DE9"/>
    <w:rsid w:val="003470CF"/>
    <w:rsid w:val="0034718B"/>
    <w:rsid w:val="003514CC"/>
    <w:rsid w:val="00352E16"/>
    <w:rsid w:val="00354078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0A77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132A"/>
    <w:rsid w:val="00383A32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4609"/>
    <w:rsid w:val="003955DB"/>
    <w:rsid w:val="00395E3D"/>
    <w:rsid w:val="0039691C"/>
    <w:rsid w:val="003969F1"/>
    <w:rsid w:val="00397659"/>
    <w:rsid w:val="00397966"/>
    <w:rsid w:val="003A0EC1"/>
    <w:rsid w:val="003A253B"/>
    <w:rsid w:val="003A29F4"/>
    <w:rsid w:val="003A45C0"/>
    <w:rsid w:val="003A47E1"/>
    <w:rsid w:val="003A5113"/>
    <w:rsid w:val="003A7433"/>
    <w:rsid w:val="003B0289"/>
    <w:rsid w:val="003B0E75"/>
    <w:rsid w:val="003B23BF"/>
    <w:rsid w:val="003B354C"/>
    <w:rsid w:val="003B45A3"/>
    <w:rsid w:val="003B5B2B"/>
    <w:rsid w:val="003B5DB0"/>
    <w:rsid w:val="003B745E"/>
    <w:rsid w:val="003B7B59"/>
    <w:rsid w:val="003C0D9A"/>
    <w:rsid w:val="003C2474"/>
    <w:rsid w:val="003C29BF"/>
    <w:rsid w:val="003C2AD2"/>
    <w:rsid w:val="003C3F44"/>
    <w:rsid w:val="003C4035"/>
    <w:rsid w:val="003C4C2F"/>
    <w:rsid w:val="003C4CAB"/>
    <w:rsid w:val="003C5281"/>
    <w:rsid w:val="003C623C"/>
    <w:rsid w:val="003C6C26"/>
    <w:rsid w:val="003D0272"/>
    <w:rsid w:val="003D0386"/>
    <w:rsid w:val="003D066F"/>
    <w:rsid w:val="003D0A26"/>
    <w:rsid w:val="003D13EA"/>
    <w:rsid w:val="003D227E"/>
    <w:rsid w:val="003D245C"/>
    <w:rsid w:val="003D42BC"/>
    <w:rsid w:val="003D4B29"/>
    <w:rsid w:val="003D4B6B"/>
    <w:rsid w:val="003D6BC9"/>
    <w:rsid w:val="003E0192"/>
    <w:rsid w:val="003E2643"/>
    <w:rsid w:val="003E3502"/>
    <w:rsid w:val="003E4A03"/>
    <w:rsid w:val="003E5599"/>
    <w:rsid w:val="003E6512"/>
    <w:rsid w:val="003E725E"/>
    <w:rsid w:val="003E7EAE"/>
    <w:rsid w:val="003F0229"/>
    <w:rsid w:val="003F06AE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085"/>
    <w:rsid w:val="003F7757"/>
    <w:rsid w:val="003F7A5D"/>
    <w:rsid w:val="00401C33"/>
    <w:rsid w:val="0040201A"/>
    <w:rsid w:val="004022A2"/>
    <w:rsid w:val="004025BD"/>
    <w:rsid w:val="00403131"/>
    <w:rsid w:val="00403846"/>
    <w:rsid w:val="00403946"/>
    <w:rsid w:val="00404329"/>
    <w:rsid w:val="004057FA"/>
    <w:rsid w:val="00405CDF"/>
    <w:rsid w:val="00406B5A"/>
    <w:rsid w:val="00406DF1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0EB8"/>
    <w:rsid w:val="004312A3"/>
    <w:rsid w:val="00433FE5"/>
    <w:rsid w:val="00435097"/>
    <w:rsid w:val="00436102"/>
    <w:rsid w:val="004371E0"/>
    <w:rsid w:val="00442784"/>
    <w:rsid w:val="004427AA"/>
    <w:rsid w:val="00443FEE"/>
    <w:rsid w:val="004446E8"/>
    <w:rsid w:val="00444EBD"/>
    <w:rsid w:val="0044582F"/>
    <w:rsid w:val="00445E27"/>
    <w:rsid w:val="00447505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67E23"/>
    <w:rsid w:val="00470BDA"/>
    <w:rsid w:val="0047221E"/>
    <w:rsid w:val="00473856"/>
    <w:rsid w:val="004744CB"/>
    <w:rsid w:val="00474786"/>
    <w:rsid w:val="004754F5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21E6"/>
    <w:rsid w:val="004835B8"/>
    <w:rsid w:val="004838AD"/>
    <w:rsid w:val="00484A94"/>
    <w:rsid w:val="004858BC"/>
    <w:rsid w:val="00486606"/>
    <w:rsid w:val="004878C9"/>
    <w:rsid w:val="00487C02"/>
    <w:rsid w:val="00487CD3"/>
    <w:rsid w:val="00490134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4938"/>
    <w:rsid w:val="004A534C"/>
    <w:rsid w:val="004A5787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B639A"/>
    <w:rsid w:val="004C01BF"/>
    <w:rsid w:val="004C2789"/>
    <w:rsid w:val="004C3CDB"/>
    <w:rsid w:val="004C40C7"/>
    <w:rsid w:val="004C49ED"/>
    <w:rsid w:val="004C6654"/>
    <w:rsid w:val="004C6A62"/>
    <w:rsid w:val="004C6DCC"/>
    <w:rsid w:val="004C7534"/>
    <w:rsid w:val="004D0A47"/>
    <w:rsid w:val="004D0B59"/>
    <w:rsid w:val="004D2106"/>
    <w:rsid w:val="004D615F"/>
    <w:rsid w:val="004D61E3"/>
    <w:rsid w:val="004D6925"/>
    <w:rsid w:val="004D7502"/>
    <w:rsid w:val="004D77FD"/>
    <w:rsid w:val="004E059A"/>
    <w:rsid w:val="004E0669"/>
    <w:rsid w:val="004E09DB"/>
    <w:rsid w:val="004E21F6"/>
    <w:rsid w:val="004E3B15"/>
    <w:rsid w:val="004E45E6"/>
    <w:rsid w:val="004E48B5"/>
    <w:rsid w:val="004E48D2"/>
    <w:rsid w:val="004E5459"/>
    <w:rsid w:val="004E65A4"/>
    <w:rsid w:val="004E6B05"/>
    <w:rsid w:val="004E76B9"/>
    <w:rsid w:val="004F077F"/>
    <w:rsid w:val="004F296E"/>
    <w:rsid w:val="004F44B4"/>
    <w:rsid w:val="004F4680"/>
    <w:rsid w:val="004F5ED7"/>
    <w:rsid w:val="004F64CA"/>
    <w:rsid w:val="004F7478"/>
    <w:rsid w:val="004F75CE"/>
    <w:rsid w:val="004F75D6"/>
    <w:rsid w:val="004F78B6"/>
    <w:rsid w:val="005014E8"/>
    <w:rsid w:val="00501CC6"/>
    <w:rsid w:val="0050224E"/>
    <w:rsid w:val="00502A94"/>
    <w:rsid w:val="00503BE9"/>
    <w:rsid w:val="00503C9B"/>
    <w:rsid w:val="00503E2A"/>
    <w:rsid w:val="00505F67"/>
    <w:rsid w:val="005062D9"/>
    <w:rsid w:val="005071FC"/>
    <w:rsid w:val="005122C3"/>
    <w:rsid w:val="00512EF1"/>
    <w:rsid w:val="0051399C"/>
    <w:rsid w:val="00513B59"/>
    <w:rsid w:val="005165E2"/>
    <w:rsid w:val="00516C6D"/>
    <w:rsid w:val="00517141"/>
    <w:rsid w:val="005218AA"/>
    <w:rsid w:val="00521926"/>
    <w:rsid w:val="00524E07"/>
    <w:rsid w:val="00525C12"/>
    <w:rsid w:val="0052618F"/>
    <w:rsid w:val="005273BB"/>
    <w:rsid w:val="005327F0"/>
    <w:rsid w:val="00533C84"/>
    <w:rsid w:val="00534758"/>
    <w:rsid w:val="00534FCA"/>
    <w:rsid w:val="005371B8"/>
    <w:rsid w:val="005372DB"/>
    <w:rsid w:val="00537BAC"/>
    <w:rsid w:val="005402FE"/>
    <w:rsid w:val="00540386"/>
    <w:rsid w:val="005407B5"/>
    <w:rsid w:val="005423CF"/>
    <w:rsid w:val="00543C95"/>
    <w:rsid w:val="00545D92"/>
    <w:rsid w:val="00545DB3"/>
    <w:rsid w:val="00547D72"/>
    <w:rsid w:val="00550C6C"/>
    <w:rsid w:val="00553752"/>
    <w:rsid w:val="00554116"/>
    <w:rsid w:val="00554133"/>
    <w:rsid w:val="00555EAF"/>
    <w:rsid w:val="00556516"/>
    <w:rsid w:val="00556B67"/>
    <w:rsid w:val="00556F51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19F6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6814"/>
    <w:rsid w:val="00587DDE"/>
    <w:rsid w:val="005908AD"/>
    <w:rsid w:val="005919C8"/>
    <w:rsid w:val="00591E0F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A62D4"/>
    <w:rsid w:val="005A7767"/>
    <w:rsid w:val="005B078D"/>
    <w:rsid w:val="005B0839"/>
    <w:rsid w:val="005B2336"/>
    <w:rsid w:val="005B2E54"/>
    <w:rsid w:val="005B44EF"/>
    <w:rsid w:val="005B4620"/>
    <w:rsid w:val="005B4AF3"/>
    <w:rsid w:val="005B4FFE"/>
    <w:rsid w:val="005B6642"/>
    <w:rsid w:val="005B7312"/>
    <w:rsid w:val="005B7416"/>
    <w:rsid w:val="005B74C3"/>
    <w:rsid w:val="005B74EC"/>
    <w:rsid w:val="005C3B34"/>
    <w:rsid w:val="005C4E0D"/>
    <w:rsid w:val="005C5687"/>
    <w:rsid w:val="005C71E9"/>
    <w:rsid w:val="005D02F3"/>
    <w:rsid w:val="005D2633"/>
    <w:rsid w:val="005D2EE2"/>
    <w:rsid w:val="005D38F1"/>
    <w:rsid w:val="005E0116"/>
    <w:rsid w:val="005E0133"/>
    <w:rsid w:val="005E0A01"/>
    <w:rsid w:val="005E16FC"/>
    <w:rsid w:val="005E33FE"/>
    <w:rsid w:val="005E3920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77C"/>
    <w:rsid w:val="005F4B04"/>
    <w:rsid w:val="005F4C36"/>
    <w:rsid w:val="005F5C9E"/>
    <w:rsid w:val="005F7235"/>
    <w:rsid w:val="0060107D"/>
    <w:rsid w:val="006029B2"/>
    <w:rsid w:val="0060311D"/>
    <w:rsid w:val="00603417"/>
    <w:rsid w:val="0060484B"/>
    <w:rsid w:val="00605BDA"/>
    <w:rsid w:val="00607833"/>
    <w:rsid w:val="00613C53"/>
    <w:rsid w:val="006142D7"/>
    <w:rsid w:val="00614E5A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2F84"/>
    <w:rsid w:val="0062391E"/>
    <w:rsid w:val="00623C40"/>
    <w:rsid w:val="0062555E"/>
    <w:rsid w:val="00625B67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0C87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7C9"/>
    <w:rsid w:val="00651ABD"/>
    <w:rsid w:val="00651CA4"/>
    <w:rsid w:val="00652BC5"/>
    <w:rsid w:val="006530C8"/>
    <w:rsid w:val="00653A20"/>
    <w:rsid w:val="00653DD2"/>
    <w:rsid w:val="00654C53"/>
    <w:rsid w:val="006553A4"/>
    <w:rsid w:val="006565DB"/>
    <w:rsid w:val="00656CCB"/>
    <w:rsid w:val="006572FF"/>
    <w:rsid w:val="006575F4"/>
    <w:rsid w:val="00657764"/>
    <w:rsid w:val="00657897"/>
    <w:rsid w:val="00657C87"/>
    <w:rsid w:val="0066039F"/>
    <w:rsid w:val="00660787"/>
    <w:rsid w:val="0066124C"/>
    <w:rsid w:val="00661285"/>
    <w:rsid w:val="00661E88"/>
    <w:rsid w:val="00662DCD"/>
    <w:rsid w:val="006630CE"/>
    <w:rsid w:val="0066311E"/>
    <w:rsid w:val="00664112"/>
    <w:rsid w:val="00666882"/>
    <w:rsid w:val="006671F5"/>
    <w:rsid w:val="006678CB"/>
    <w:rsid w:val="00670081"/>
    <w:rsid w:val="00671B46"/>
    <w:rsid w:val="00672193"/>
    <w:rsid w:val="00672BAF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9CF"/>
    <w:rsid w:val="00692FE6"/>
    <w:rsid w:val="00693DB5"/>
    <w:rsid w:val="00694C4B"/>
    <w:rsid w:val="00694E1C"/>
    <w:rsid w:val="006950BA"/>
    <w:rsid w:val="00695357"/>
    <w:rsid w:val="00695FB5"/>
    <w:rsid w:val="0069614C"/>
    <w:rsid w:val="006964AC"/>
    <w:rsid w:val="006974D7"/>
    <w:rsid w:val="006976AA"/>
    <w:rsid w:val="006A024A"/>
    <w:rsid w:val="006A03DD"/>
    <w:rsid w:val="006A1083"/>
    <w:rsid w:val="006A156D"/>
    <w:rsid w:val="006A2A35"/>
    <w:rsid w:val="006A63B6"/>
    <w:rsid w:val="006A7DAB"/>
    <w:rsid w:val="006B0529"/>
    <w:rsid w:val="006B139E"/>
    <w:rsid w:val="006B28B2"/>
    <w:rsid w:val="006B2992"/>
    <w:rsid w:val="006B394E"/>
    <w:rsid w:val="006B466C"/>
    <w:rsid w:val="006B4870"/>
    <w:rsid w:val="006B7AF0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D7F64"/>
    <w:rsid w:val="006E174A"/>
    <w:rsid w:val="006E2332"/>
    <w:rsid w:val="006E7EB7"/>
    <w:rsid w:val="006E7F6E"/>
    <w:rsid w:val="006F2EE0"/>
    <w:rsid w:val="006F3661"/>
    <w:rsid w:val="006F46C6"/>
    <w:rsid w:val="006F694F"/>
    <w:rsid w:val="006F6F2D"/>
    <w:rsid w:val="00700318"/>
    <w:rsid w:val="007005E4"/>
    <w:rsid w:val="00700778"/>
    <w:rsid w:val="00700AA0"/>
    <w:rsid w:val="00700CF6"/>
    <w:rsid w:val="007015E6"/>
    <w:rsid w:val="0070206C"/>
    <w:rsid w:val="007023A1"/>
    <w:rsid w:val="00702812"/>
    <w:rsid w:val="007041EB"/>
    <w:rsid w:val="007058D7"/>
    <w:rsid w:val="007066B6"/>
    <w:rsid w:val="007075DF"/>
    <w:rsid w:val="00710114"/>
    <w:rsid w:val="00710E7C"/>
    <w:rsid w:val="00713D77"/>
    <w:rsid w:val="00713E52"/>
    <w:rsid w:val="00715857"/>
    <w:rsid w:val="00716A6D"/>
    <w:rsid w:val="0071713A"/>
    <w:rsid w:val="00717970"/>
    <w:rsid w:val="00720523"/>
    <w:rsid w:val="00722984"/>
    <w:rsid w:val="00722CEA"/>
    <w:rsid w:val="00722D31"/>
    <w:rsid w:val="00725902"/>
    <w:rsid w:val="007265CF"/>
    <w:rsid w:val="00727EB3"/>
    <w:rsid w:val="00727F12"/>
    <w:rsid w:val="007334AE"/>
    <w:rsid w:val="00734D7E"/>
    <w:rsid w:val="007364DE"/>
    <w:rsid w:val="00737EE1"/>
    <w:rsid w:val="00740C3B"/>
    <w:rsid w:val="007411E1"/>
    <w:rsid w:val="00741B55"/>
    <w:rsid w:val="0074252A"/>
    <w:rsid w:val="00743545"/>
    <w:rsid w:val="00743D33"/>
    <w:rsid w:val="0074632F"/>
    <w:rsid w:val="007465CD"/>
    <w:rsid w:val="00746674"/>
    <w:rsid w:val="0075040B"/>
    <w:rsid w:val="007508B1"/>
    <w:rsid w:val="00751CE8"/>
    <w:rsid w:val="007526BF"/>
    <w:rsid w:val="00754AB0"/>
    <w:rsid w:val="00754FA2"/>
    <w:rsid w:val="00756EB4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3CC9"/>
    <w:rsid w:val="00785CF5"/>
    <w:rsid w:val="00787234"/>
    <w:rsid w:val="00787743"/>
    <w:rsid w:val="00790248"/>
    <w:rsid w:val="00791190"/>
    <w:rsid w:val="00791E26"/>
    <w:rsid w:val="007920F0"/>
    <w:rsid w:val="00793620"/>
    <w:rsid w:val="00793AE0"/>
    <w:rsid w:val="00793F2C"/>
    <w:rsid w:val="007940F4"/>
    <w:rsid w:val="007956C2"/>
    <w:rsid w:val="007958D1"/>
    <w:rsid w:val="00795DA2"/>
    <w:rsid w:val="00795F61"/>
    <w:rsid w:val="00796B9B"/>
    <w:rsid w:val="007974A7"/>
    <w:rsid w:val="00797598"/>
    <w:rsid w:val="007A0573"/>
    <w:rsid w:val="007A2815"/>
    <w:rsid w:val="007A2EED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C71A5"/>
    <w:rsid w:val="007D0313"/>
    <w:rsid w:val="007D0663"/>
    <w:rsid w:val="007D0D41"/>
    <w:rsid w:val="007D12E2"/>
    <w:rsid w:val="007D18EE"/>
    <w:rsid w:val="007D30E7"/>
    <w:rsid w:val="007D3E5D"/>
    <w:rsid w:val="007D4028"/>
    <w:rsid w:val="007D412D"/>
    <w:rsid w:val="007D4A4C"/>
    <w:rsid w:val="007D54E2"/>
    <w:rsid w:val="007D5A15"/>
    <w:rsid w:val="007D65F5"/>
    <w:rsid w:val="007D71F7"/>
    <w:rsid w:val="007E02DB"/>
    <w:rsid w:val="007E2750"/>
    <w:rsid w:val="007E280C"/>
    <w:rsid w:val="007E2AE9"/>
    <w:rsid w:val="007E4176"/>
    <w:rsid w:val="007E4E1C"/>
    <w:rsid w:val="007E6D96"/>
    <w:rsid w:val="007E6F97"/>
    <w:rsid w:val="007E7999"/>
    <w:rsid w:val="007F043B"/>
    <w:rsid w:val="007F0772"/>
    <w:rsid w:val="007F07DE"/>
    <w:rsid w:val="007F0B3E"/>
    <w:rsid w:val="007F1582"/>
    <w:rsid w:val="007F2DE6"/>
    <w:rsid w:val="007F357E"/>
    <w:rsid w:val="007F4377"/>
    <w:rsid w:val="007F5B77"/>
    <w:rsid w:val="007F6BC8"/>
    <w:rsid w:val="00800A23"/>
    <w:rsid w:val="0080113B"/>
    <w:rsid w:val="008021EE"/>
    <w:rsid w:val="008022A0"/>
    <w:rsid w:val="008039CA"/>
    <w:rsid w:val="00804A36"/>
    <w:rsid w:val="00805291"/>
    <w:rsid w:val="00807E38"/>
    <w:rsid w:val="0081007D"/>
    <w:rsid w:val="0081047C"/>
    <w:rsid w:val="00810A22"/>
    <w:rsid w:val="00810BDF"/>
    <w:rsid w:val="00810CCD"/>
    <w:rsid w:val="00812D07"/>
    <w:rsid w:val="00814C27"/>
    <w:rsid w:val="00815F37"/>
    <w:rsid w:val="008162ED"/>
    <w:rsid w:val="00817570"/>
    <w:rsid w:val="00820D81"/>
    <w:rsid w:val="008224AD"/>
    <w:rsid w:val="0082310A"/>
    <w:rsid w:val="00823526"/>
    <w:rsid w:val="0082377A"/>
    <w:rsid w:val="00823C03"/>
    <w:rsid w:val="00823C86"/>
    <w:rsid w:val="008247C5"/>
    <w:rsid w:val="0082622C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4DCE"/>
    <w:rsid w:val="00845142"/>
    <w:rsid w:val="008452F8"/>
    <w:rsid w:val="00845A36"/>
    <w:rsid w:val="00845F4F"/>
    <w:rsid w:val="0084600E"/>
    <w:rsid w:val="00847D0E"/>
    <w:rsid w:val="00847F4C"/>
    <w:rsid w:val="00850178"/>
    <w:rsid w:val="00851C71"/>
    <w:rsid w:val="0085200E"/>
    <w:rsid w:val="008526B6"/>
    <w:rsid w:val="008535D9"/>
    <w:rsid w:val="00853683"/>
    <w:rsid w:val="008537DC"/>
    <w:rsid w:val="0085450D"/>
    <w:rsid w:val="008574C4"/>
    <w:rsid w:val="008608AF"/>
    <w:rsid w:val="00860A60"/>
    <w:rsid w:val="00861004"/>
    <w:rsid w:val="008611BC"/>
    <w:rsid w:val="00861D78"/>
    <w:rsid w:val="008627FA"/>
    <w:rsid w:val="008641F3"/>
    <w:rsid w:val="00864497"/>
    <w:rsid w:val="008650B2"/>
    <w:rsid w:val="0086681A"/>
    <w:rsid w:val="008673E0"/>
    <w:rsid w:val="00873462"/>
    <w:rsid w:val="008735E3"/>
    <w:rsid w:val="008738F0"/>
    <w:rsid w:val="008749DB"/>
    <w:rsid w:val="00876D89"/>
    <w:rsid w:val="00877952"/>
    <w:rsid w:val="008804A3"/>
    <w:rsid w:val="00880A26"/>
    <w:rsid w:val="00880C04"/>
    <w:rsid w:val="0088124E"/>
    <w:rsid w:val="00881527"/>
    <w:rsid w:val="008827E2"/>
    <w:rsid w:val="00884F1F"/>
    <w:rsid w:val="00886B4A"/>
    <w:rsid w:val="00886D9C"/>
    <w:rsid w:val="0088704D"/>
    <w:rsid w:val="00887770"/>
    <w:rsid w:val="0089005C"/>
    <w:rsid w:val="00890F1C"/>
    <w:rsid w:val="00891661"/>
    <w:rsid w:val="00891833"/>
    <w:rsid w:val="00892865"/>
    <w:rsid w:val="008929A1"/>
    <w:rsid w:val="008938FD"/>
    <w:rsid w:val="00894844"/>
    <w:rsid w:val="00894BC2"/>
    <w:rsid w:val="00895633"/>
    <w:rsid w:val="0089580A"/>
    <w:rsid w:val="00896490"/>
    <w:rsid w:val="008A0993"/>
    <w:rsid w:val="008A4277"/>
    <w:rsid w:val="008A4957"/>
    <w:rsid w:val="008A52F1"/>
    <w:rsid w:val="008A54FF"/>
    <w:rsid w:val="008A5D37"/>
    <w:rsid w:val="008A6685"/>
    <w:rsid w:val="008B0C9D"/>
    <w:rsid w:val="008B113C"/>
    <w:rsid w:val="008B19AC"/>
    <w:rsid w:val="008B1C5E"/>
    <w:rsid w:val="008B3646"/>
    <w:rsid w:val="008B4D98"/>
    <w:rsid w:val="008B4F02"/>
    <w:rsid w:val="008B5C49"/>
    <w:rsid w:val="008B6EB1"/>
    <w:rsid w:val="008B740C"/>
    <w:rsid w:val="008C0971"/>
    <w:rsid w:val="008C0D8D"/>
    <w:rsid w:val="008C13D8"/>
    <w:rsid w:val="008C1601"/>
    <w:rsid w:val="008C16D8"/>
    <w:rsid w:val="008C2C3B"/>
    <w:rsid w:val="008C3177"/>
    <w:rsid w:val="008C50D4"/>
    <w:rsid w:val="008C50F4"/>
    <w:rsid w:val="008C6891"/>
    <w:rsid w:val="008C6B55"/>
    <w:rsid w:val="008C6E87"/>
    <w:rsid w:val="008C7A6C"/>
    <w:rsid w:val="008D0F27"/>
    <w:rsid w:val="008D36D9"/>
    <w:rsid w:val="008D3AB1"/>
    <w:rsid w:val="008D4A66"/>
    <w:rsid w:val="008D6BD9"/>
    <w:rsid w:val="008D7159"/>
    <w:rsid w:val="008E15D5"/>
    <w:rsid w:val="008E1772"/>
    <w:rsid w:val="008E335E"/>
    <w:rsid w:val="008E3748"/>
    <w:rsid w:val="008E3F9F"/>
    <w:rsid w:val="008E4D28"/>
    <w:rsid w:val="008E62AA"/>
    <w:rsid w:val="008F0C80"/>
    <w:rsid w:val="008F18A9"/>
    <w:rsid w:val="008F65D5"/>
    <w:rsid w:val="009008A4"/>
    <w:rsid w:val="0090230E"/>
    <w:rsid w:val="00902B46"/>
    <w:rsid w:val="00902E8A"/>
    <w:rsid w:val="00903AFA"/>
    <w:rsid w:val="00903B24"/>
    <w:rsid w:val="00905A15"/>
    <w:rsid w:val="00905B97"/>
    <w:rsid w:val="00905E2D"/>
    <w:rsid w:val="00907AE8"/>
    <w:rsid w:val="00910347"/>
    <w:rsid w:val="009109F2"/>
    <w:rsid w:val="00910A8E"/>
    <w:rsid w:val="00912210"/>
    <w:rsid w:val="00913F1D"/>
    <w:rsid w:val="00913F6F"/>
    <w:rsid w:val="009165FC"/>
    <w:rsid w:val="00916738"/>
    <w:rsid w:val="00916D20"/>
    <w:rsid w:val="00920323"/>
    <w:rsid w:val="009233BA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9C1"/>
    <w:rsid w:val="00933B31"/>
    <w:rsid w:val="00934467"/>
    <w:rsid w:val="00935490"/>
    <w:rsid w:val="009355EE"/>
    <w:rsid w:val="00937348"/>
    <w:rsid w:val="009405E4"/>
    <w:rsid w:val="00940B66"/>
    <w:rsid w:val="00941585"/>
    <w:rsid w:val="009416D0"/>
    <w:rsid w:val="00942C95"/>
    <w:rsid w:val="00944A2F"/>
    <w:rsid w:val="0094531A"/>
    <w:rsid w:val="009468C1"/>
    <w:rsid w:val="00946A3C"/>
    <w:rsid w:val="009476DF"/>
    <w:rsid w:val="0095038E"/>
    <w:rsid w:val="00952189"/>
    <w:rsid w:val="00952251"/>
    <w:rsid w:val="00954B20"/>
    <w:rsid w:val="00954CFC"/>
    <w:rsid w:val="00954D66"/>
    <w:rsid w:val="00955411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4F9"/>
    <w:rsid w:val="00961965"/>
    <w:rsid w:val="00962F05"/>
    <w:rsid w:val="009630BD"/>
    <w:rsid w:val="009639F8"/>
    <w:rsid w:val="00964BF8"/>
    <w:rsid w:val="00965B0C"/>
    <w:rsid w:val="009667B8"/>
    <w:rsid w:val="00966DBB"/>
    <w:rsid w:val="00967F75"/>
    <w:rsid w:val="00970086"/>
    <w:rsid w:val="00970C0D"/>
    <w:rsid w:val="009717D5"/>
    <w:rsid w:val="00972C30"/>
    <w:rsid w:val="009750AD"/>
    <w:rsid w:val="0097595F"/>
    <w:rsid w:val="00975A87"/>
    <w:rsid w:val="00975DEE"/>
    <w:rsid w:val="00976504"/>
    <w:rsid w:val="00976834"/>
    <w:rsid w:val="009769E0"/>
    <w:rsid w:val="00977654"/>
    <w:rsid w:val="009802C0"/>
    <w:rsid w:val="00980D35"/>
    <w:rsid w:val="00982E95"/>
    <w:rsid w:val="00984BB3"/>
    <w:rsid w:val="00986B28"/>
    <w:rsid w:val="00986F05"/>
    <w:rsid w:val="0099129F"/>
    <w:rsid w:val="0099362A"/>
    <w:rsid w:val="00994AD6"/>
    <w:rsid w:val="00994E6B"/>
    <w:rsid w:val="0099553F"/>
    <w:rsid w:val="009955F0"/>
    <w:rsid w:val="00995A4A"/>
    <w:rsid w:val="009A0990"/>
    <w:rsid w:val="009A0FB8"/>
    <w:rsid w:val="009A204C"/>
    <w:rsid w:val="009A2538"/>
    <w:rsid w:val="009A4544"/>
    <w:rsid w:val="009A637C"/>
    <w:rsid w:val="009B06AA"/>
    <w:rsid w:val="009B13D1"/>
    <w:rsid w:val="009B14F5"/>
    <w:rsid w:val="009B188F"/>
    <w:rsid w:val="009B4E4D"/>
    <w:rsid w:val="009B55C1"/>
    <w:rsid w:val="009B6361"/>
    <w:rsid w:val="009B6A8A"/>
    <w:rsid w:val="009B6D82"/>
    <w:rsid w:val="009B76B9"/>
    <w:rsid w:val="009B7800"/>
    <w:rsid w:val="009C00B3"/>
    <w:rsid w:val="009C0340"/>
    <w:rsid w:val="009C045B"/>
    <w:rsid w:val="009C1341"/>
    <w:rsid w:val="009C1521"/>
    <w:rsid w:val="009C1A83"/>
    <w:rsid w:val="009C2680"/>
    <w:rsid w:val="009C5C5B"/>
    <w:rsid w:val="009C68E7"/>
    <w:rsid w:val="009C6A58"/>
    <w:rsid w:val="009C70DE"/>
    <w:rsid w:val="009D079A"/>
    <w:rsid w:val="009D149D"/>
    <w:rsid w:val="009D1F96"/>
    <w:rsid w:val="009D201C"/>
    <w:rsid w:val="009D287F"/>
    <w:rsid w:val="009D3485"/>
    <w:rsid w:val="009D3576"/>
    <w:rsid w:val="009D3614"/>
    <w:rsid w:val="009D4306"/>
    <w:rsid w:val="009D4EB9"/>
    <w:rsid w:val="009D52AF"/>
    <w:rsid w:val="009D6C84"/>
    <w:rsid w:val="009D70B2"/>
    <w:rsid w:val="009D7ABA"/>
    <w:rsid w:val="009E179E"/>
    <w:rsid w:val="009E1EA0"/>
    <w:rsid w:val="009E363B"/>
    <w:rsid w:val="009E398D"/>
    <w:rsid w:val="009E46D9"/>
    <w:rsid w:val="009E4AD3"/>
    <w:rsid w:val="009E546C"/>
    <w:rsid w:val="009E5664"/>
    <w:rsid w:val="009E6C49"/>
    <w:rsid w:val="009E7395"/>
    <w:rsid w:val="009E77AF"/>
    <w:rsid w:val="009F0367"/>
    <w:rsid w:val="009F1B7A"/>
    <w:rsid w:val="009F2B83"/>
    <w:rsid w:val="009F3A41"/>
    <w:rsid w:val="009F3D3A"/>
    <w:rsid w:val="009F475C"/>
    <w:rsid w:val="009F5B43"/>
    <w:rsid w:val="009F5E3E"/>
    <w:rsid w:val="009F62D0"/>
    <w:rsid w:val="009F6988"/>
    <w:rsid w:val="00A003ED"/>
    <w:rsid w:val="00A00DE7"/>
    <w:rsid w:val="00A0190E"/>
    <w:rsid w:val="00A019A4"/>
    <w:rsid w:val="00A04345"/>
    <w:rsid w:val="00A0459C"/>
    <w:rsid w:val="00A0472E"/>
    <w:rsid w:val="00A05815"/>
    <w:rsid w:val="00A05A74"/>
    <w:rsid w:val="00A06FC2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398"/>
    <w:rsid w:val="00A20AED"/>
    <w:rsid w:val="00A20B84"/>
    <w:rsid w:val="00A20E09"/>
    <w:rsid w:val="00A21391"/>
    <w:rsid w:val="00A2230B"/>
    <w:rsid w:val="00A23659"/>
    <w:rsid w:val="00A24EA5"/>
    <w:rsid w:val="00A260A2"/>
    <w:rsid w:val="00A26B88"/>
    <w:rsid w:val="00A3388C"/>
    <w:rsid w:val="00A342CF"/>
    <w:rsid w:val="00A344FE"/>
    <w:rsid w:val="00A34525"/>
    <w:rsid w:val="00A358A1"/>
    <w:rsid w:val="00A36640"/>
    <w:rsid w:val="00A36664"/>
    <w:rsid w:val="00A36F85"/>
    <w:rsid w:val="00A3708C"/>
    <w:rsid w:val="00A37D18"/>
    <w:rsid w:val="00A405D5"/>
    <w:rsid w:val="00A41ABD"/>
    <w:rsid w:val="00A43F4D"/>
    <w:rsid w:val="00A4486D"/>
    <w:rsid w:val="00A44F52"/>
    <w:rsid w:val="00A45F39"/>
    <w:rsid w:val="00A463D1"/>
    <w:rsid w:val="00A46B8A"/>
    <w:rsid w:val="00A47B4F"/>
    <w:rsid w:val="00A50037"/>
    <w:rsid w:val="00A50188"/>
    <w:rsid w:val="00A51C6A"/>
    <w:rsid w:val="00A52754"/>
    <w:rsid w:val="00A52D93"/>
    <w:rsid w:val="00A53725"/>
    <w:rsid w:val="00A53BFB"/>
    <w:rsid w:val="00A5640C"/>
    <w:rsid w:val="00A60202"/>
    <w:rsid w:val="00A602C3"/>
    <w:rsid w:val="00A6229A"/>
    <w:rsid w:val="00A62515"/>
    <w:rsid w:val="00A626D9"/>
    <w:rsid w:val="00A66570"/>
    <w:rsid w:val="00A66B61"/>
    <w:rsid w:val="00A67FC6"/>
    <w:rsid w:val="00A71B1D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139"/>
    <w:rsid w:val="00A83F9B"/>
    <w:rsid w:val="00A84383"/>
    <w:rsid w:val="00A84F8F"/>
    <w:rsid w:val="00A869E2"/>
    <w:rsid w:val="00A875A6"/>
    <w:rsid w:val="00A903B0"/>
    <w:rsid w:val="00A90995"/>
    <w:rsid w:val="00A90F8E"/>
    <w:rsid w:val="00A92F0B"/>
    <w:rsid w:val="00A9307A"/>
    <w:rsid w:val="00A93244"/>
    <w:rsid w:val="00A93F00"/>
    <w:rsid w:val="00A950C4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B48"/>
    <w:rsid w:val="00AA4FF8"/>
    <w:rsid w:val="00AA6AD8"/>
    <w:rsid w:val="00AA748B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6882"/>
    <w:rsid w:val="00AB7DC1"/>
    <w:rsid w:val="00AC0404"/>
    <w:rsid w:val="00AC091B"/>
    <w:rsid w:val="00AC0F14"/>
    <w:rsid w:val="00AC1B86"/>
    <w:rsid w:val="00AC1E88"/>
    <w:rsid w:val="00AC2EF7"/>
    <w:rsid w:val="00AC3F7E"/>
    <w:rsid w:val="00AC4B44"/>
    <w:rsid w:val="00AC5871"/>
    <w:rsid w:val="00AC5DCE"/>
    <w:rsid w:val="00AC7F38"/>
    <w:rsid w:val="00AD0350"/>
    <w:rsid w:val="00AD1728"/>
    <w:rsid w:val="00AD1A27"/>
    <w:rsid w:val="00AD1B32"/>
    <w:rsid w:val="00AD5509"/>
    <w:rsid w:val="00AD5576"/>
    <w:rsid w:val="00AE06BB"/>
    <w:rsid w:val="00AE1536"/>
    <w:rsid w:val="00AE4C97"/>
    <w:rsid w:val="00AE7F8C"/>
    <w:rsid w:val="00AF12F1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AF5AE2"/>
    <w:rsid w:val="00AF6D15"/>
    <w:rsid w:val="00B0019C"/>
    <w:rsid w:val="00B00624"/>
    <w:rsid w:val="00B01C32"/>
    <w:rsid w:val="00B022BE"/>
    <w:rsid w:val="00B03DF4"/>
    <w:rsid w:val="00B04784"/>
    <w:rsid w:val="00B0584A"/>
    <w:rsid w:val="00B0700C"/>
    <w:rsid w:val="00B07759"/>
    <w:rsid w:val="00B07E46"/>
    <w:rsid w:val="00B113A4"/>
    <w:rsid w:val="00B11ADB"/>
    <w:rsid w:val="00B123EF"/>
    <w:rsid w:val="00B124D0"/>
    <w:rsid w:val="00B12A09"/>
    <w:rsid w:val="00B12F39"/>
    <w:rsid w:val="00B13AE5"/>
    <w:rsid w:val="00B15657"/>
    <w:rsid w:val="00B15C9A"/>
    <w:rsid w:val="00B15F83"/>
    <w:rsid w:val="00B16BFA"/>
    <w:rsid w:val="00B17469"/>
    <w:rsid w:val="00B17DE3"/>
    <w:rsid w:val="00B20FD4"/>
    <w:rsid w:val="00B21329"/>
    <w:rsid w:val="00B217CE"/>
    <w:rsid w:val="00B21C29"/>
    <w:rsid w:val="00B21DD4"/>
    <w:rsid w:val="00B24249"/>
    <w:rsid w:val="00B24295"/>
    <w:rsid w:val="00B252D7"/>
    <w:rsid w:val="00B2732E"/>
    <w:rsid w:val="00B276E5"/>
    <w:rsid w:val="00B30257"/>
    <w:rsid w:val="00B30C97"/>
    <w:rsid w:val="00B30E1C"/>
    <w:rsid w:val="00B31DBB"/>
    <w:rsid w:val="00B325DA"/>
    <w:rsid w:val="00B342FF"/>
    <w:rsid w:val="00B3481A"/>
    <w:rsid w:val="00B34FEF"/>
    <w:rsid w:val="00B36D32"/>
    <w:rsid w:val="00B36D83"/>
    <w:rsid w:val="00B37996"/>
    <w:rsid w:val="00B42167"/>
    <w:rsid w:val="00B440F3"/>
    <w:rsid w:val="00B44EF6"/>
    <w:rsid w:val="00B457B3"/>
    <w:rsid w:val="00B45BE0"/>
    <w:rsid w:val="00B50160"/>
    <w:rsid w:val="00B501DA"/>
    <w:rsid w:val="00B533EF"/>
    <w:rsid w:val="00B54988"/>
    <w:rsid w:val="00B54BCE"/>
    <w:rsid w:val="00B561CA"/>
    <w:rsid w:val="00B566A1"/>
    <w:rsid w:val="00B566A9"/>
    <w:rsid w:val="00B61849"/>
    <w:rsid w:val="00B6318E"/>
    <w:rsid w:val="00B6442A"/>
    <w:rsid w:val="00B65C35"/>
    <w:rsid w:val="00B65C84"/>
    <w:rsid w:val="00B66A52"/>
    <w:rsid w:val="00B67109"/>
    <w:rsid w:val="00B7100C"/>
    <w:rsid w:val="00B71258"/>
    <w:rsid w:val="00B71A01"/>
    <w:rsid w:val="00B73106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9DD"/>
    <w:rsid w:val="00B83C74"/>
    <w:rsid w:val="00B846F5"/>
    <w:rsid w:val="00B85B7B"/>
    <w:rsid w:val="00B85EBB"/>
    <w:rsid w:val="00B85F05"/>
    <w:rsid w:val="00B8625F"/>
    <w:rsid w:val="00B86352"/>
    <w:rsid w:val="00B9004A"/>
    <w:rsid w:val="00B902A3"/>
    <w:rsid w:val="00B9051E"/>
    <w:rsid w:val="00B923A3"/>
    <w:rsid w:val="00B92E3F"/>
    <w:rsid w:val="00B943A6"/>
    <w:rsid w:val="00B947E7"/>
    <w:rsid w:val="00B957E6"/>
    <w:rsid w:val="00B95B9B"/>
    <w:rsid w:val="00B95D74"/>
    <w:rsid w:val="00B96099"/>
    <w:rsid w:val="00BA0234"/>
    <w:rsid w:val="00BA1E18"/>
    <w:rsid w:val="00BA2177"/>
    <w:rsid w:val="00BA21FD"/>
    <w:rsid w:val="00BA6A8B"/>
    <w:rsid w:val="00BB16B3"/>
    <w:rsid w:val="00BB2302"/>
    <w:rsid w:val="00BB32E4"/>
    <w:rsid w:val="00BB4A59"/>
    <w:rsid w:val="00BB545F"/>
    <w:rsid w:val="00BB6BBB"/>
    <w:rsid w:val="00BB6FAB"/>
    <w:rsid w:val="00BB7BD2"/>
    <w:rsid w:val="00BC0B0C"/>
    <w:rsid w:val="00BC3080"/>
    <w:rsid w:val="00BC3F7E"/>
    <w:rsid w:val="00BC44A8"/>
    <w:rsid w:val="00BC51ED"/>
    <w:rsid w:val="00BC562E"/>
    <w:rsid w:val="00BC58ED"/>
    <w:rsid w:val="00BC5983"/>
    <w:rsid w:val="00BC5B27"/>
    <w:rsid w:val="00BC645C"/>
    <w:rsid w:val="00BD1846"/>
    <w:rsid w:val="00BD1FD4"/>
    <w:rsid w:val="00BD21E6"/>
    <w:rsid w:val="00BD315F"/>
    <w:rsid w:val="00BD3C26"/>
    <w:rsid w:val="00BD48CD"/>
    <w:rsid w:val="00BD5FE5"/>
    <w:rsid w:val="00BD6CF0"/>
    <w:rsid w:val="00BD6FB8"/>
    <w:rsid w:val="00BD6FDA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4A9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3CB9"/>
    <w:rsid w:val="00C04291"/>
    <w:rsid w:val="00C04643"/>
    <w:rsid w:val="00C066CC"/>
    <w:rsid w:val="00C1043F"/>
    <w:rsid w:val="00C12336"/>
    <w:rsid w:val="00C13138"/>
    <w:rsid w:val="00C13A7F"/>
    <w:rsid w:val="00C13B5B"/>
    <w:rsid w:val="00C14D11"/>
    <w:rsid w:val="00C15752"/>
    <w:rsid w:val="00C15F96"/>
    <w:rsid w:val="00C17236"/>
    <w:rsid w:val="00C17BE3"/>
    <w:rsid w:val="00C207A2"/>
    <w:rsid w:val="00C2081E"/>
    <w:rsid w:val="00C21A3A"/>
    <w:rsid w:val="00C22046"/>
    <w:rsid w:val="00C224F9"/>
    <w:rsid w:val="00C229D8"/>
    <w:rsid w:val="00C22BEE"/>
    <w:rsid w:val="00C23AAB"/>
    <w:rsid w:val="00C26364"/>
    <w:rsid w:val="00C30DBF"/>
    <w:rsid w:val="00C3221C"/>
    <w:rsid w:val="00C32CC1"/>
    <w:rsid w:val="00C33417"/>
    <w:rsid w:val="00C33928"/>
    <w:rsid w:val="00C35144"/>
    <w:rsid w:val="00C3784A"/>
    <w:rsid w:val="00C41796"/>
    <w:rsid w:val="00C417BB"/>
    <w:rsid w:val="00C42198"/>
    <w:rsid w:val="00C42971"/>
    <w:rsid w:val="00C43E98"/>
    <w:rsid w:val="00C460CC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087D"/>
    <w:rsid w:val="00C618C6"/>
    <w:rsid w:val="00C61BD9"/>
    <w:rsid w:val="00C622CA"/>
    <w:rsid w:val="00C6264E"/>
    <w:rsid w:val="00C62C62"/>
    <w:rsid w:val="00C635F3"/>
    <w:rsid w:val="00C63805"/>
    <w:rsid w:val="00C64282"/>
    <w:rsid w:val="00C65CDF"/>
    <w:rsid w:val="00C70709"/>
    <w:rsid w:val="00C70A2C"/>
    <w:rsid w:val="00C72606"/>
    <w:rsid w:val="00C73951"/>
    <w:rsid w:val="00C73CBB"/>
    <w:rsid w:val="00C75D0C"/>
    <w:rsid w:val="00C760D7"/>
    <w:rsid w:val="00C809E0"/>
    <w:rsid w:val="00C81E12"/>
    <w:rsid w:val="00C82DAA"/>
    <w:rsid w:val="00C8478C"/>
    <w:rsid w:val="00C85C17"/>
    <w:rsid w:val="00C86ABA"/>
    <w:rsid w:val="00C90623"/>
    <w:rsid w:val="00C90C44"/>
    <w:rsid w:val="00C929E6"/>
    <w:rsid w:val="00C943F3"/>
    <w:rsid w:val="00C94A39"/>
    <w:rsid w:val="00C94A47"/>
    <w:rsid w:val="00C9586D"/>
    <w:rsid w:val="00C964F4"/>
    <w:rsid w:val="00C96D12"/>
    <w:rsid w:val="00C96D69"/>
    <w:rsid w:val="00C975F4"/>
    <w:rsid w:val="00CA1403"/>
    <w:rsid w:val="00CA14EB"/>
    <w:rsid w:val="00CA1515"/>
    <w:rsid w:val="00CA2204"/>
    <w:rsid w:val="00CA3955"/>
    <w:rsid w:val="00CA3A47"/>
    <w:rsid w:val="00CA409A"/>
    <w:rsid w:val="00CA4A43"/>
    <w:rsid w:val="00CA5D84"/>
    <w:rsid w:val="00CB0090"/>
    <w:rsid w:val="00CB014A"/>
    <w:rsid w:val="00CB2212"/>
    <w:rsid w:val="00CB428C"/>
    <w:rsid w:val="00CB4AFF"/>
    <w:rsid w:val="00CB5F47"/>
    <w:rsid w:val="00CB62A5"/>
    <w:rsid w:val="00CB640B"/>
    <w:rsid w:val="00CC079A"/>
    <w:rsid w:val="00CC1CE3"/>
    <w:rsid w:val="00CC2235"/>
    <w:rsid w:val="00CC2B72"/>
    <w:rsid w:val="00CC3045"/>
    <w:rsid w:val="00CC35C7"/>
    <w:rsid w:val="00CC5EE2"/>
    <w:rsid w:val="00CC7CC3"/>
    <w:rsid w:val="00CC7E9E"/>
    <w:rsid w:val="00CD00D3"/>
    <w:rsid w:val="00CD11B6"/>
    <w:rsid w:val="00CD4BAE"/>
    <w:rsid w:val="00CD4C44"/>
    <w:rsid w:val="00CE116E"/>
    <w:rsid w:val="00CE1559"/>
    <w:rsid w:val="00CE1C1F"/>
    <w:rsid w:val="00CE2F04"/>
    <w:rsid w:val="00CE326D"/>
    <w:rsid w:val="00CE362D"/>
    <w:rsid w:val="00CE3A58"/>
    <w:rsid w:val="00CE3C2C"/>
    <w:rsid w:val="00CE5624"/>
    <w:rsid w:val="00CE6233"/>
    <w:rsid w:val="00CE7184"/>
    <w:rsid w:val="00CE734F"/>
    <w:rsid w:val="00CE7CF5"/>
    <w:rsid w:val="00CF08A8"/>
    <w:rsid w:val="00CF0DCC"/>
    <w:rsid w:val="00CF0FBD"/>
    <w:rsid w:val="00CF1813"/>
    <w:rsid w:val="00CF2E90"/>
    <w:rsid w:val="00CF4970"/>
    <w:rsid w:val="00CF502F"/>
    <w:rsid w:val="00CF50DD"/>
    <w:rsid w:val="00CF534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0CD4"/>
    <w:rsid w:val="00D11F3E"/>
    <w:rsid w:val="00D140C6"/>
    <w:rsid w:val="00D143AB"/>
    <w:rsid w:val="00D17272"/>
    <w:rsid w:val="00D21751"/>
    <w:rsid w:val="00D21853"/>
    <w:rsid w:val="00D22D0E"/>
    <w:rsid w:val="00D2323C"/>
    <w:rsid w:val="00D23F62"/>
    <w:rsid w:val="00D24B29"/>
    <w:rsid w:val="00D3042F"/>
    <w:rsid w:val="00D3149C"/>
    <w:rsid w:val="00D31727"/>
    <w:rsid w:val="00D32CB8"/>
    <w:rsid w:val="00D32FC8"/>
    <w:rsid w:val="00D32FED"/>
    <w:rsid w:val="00D33FFC"/>
    <w:rsid w:val="00D34964"/>
    <w:rsid w:val="00D35A1B"/>
    <w:rsid w:val="00D37E24"/>
    <w:rsid w:val="00D37EF2"/>
    <w:rsid w:val="00D410A1"/>
    <w:rsid w:val="00D463E7"/>
    <w:rsid w:val="00D46C81"/>
    <w:rsid w:val="00D47868"/>
    <w:rsid w:val="00D50677"/>
    <w:rsid w:val="00D507E3"/>
    <w:rsid w:val="00D51EA8"/>
    <w:rsid w:val="00D5245F"/>
    <w:rsid w:val="00D52957"/>
    <w:rsid w:val="00D54477"/>
    <w:rsid w:val="00D54F8B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7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0F7C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A466A"/>
    <w:rsid w:val="00DB02B8"/>
    <w:rsid w:val="00DB06CF"/>
    <w:rsid w:val="00DB28AA"/>
    <w:rsid w:val="00DB44AC"/>
    <w:rsid w:val="00DB63CF"/>
    <w:rsid w:val="00DB7B36"/>
    <w:rsid w:val="00DB7BD1"/>
    <w:rsid w:val="00DC02FC"/>
    <w:rsid w:val="00DC0570"/>
    <w:rsid w:val="00DC149E"/>
    <w:rsid w:val="00DC17BC"/>
    <w:rsid w:val="00DC2419"/>
    <w:rsid w:val="00DC2937"/>
    <w:rsid w:val="00DC30ED"/>
    <w:rsid w:val="00DC5714"/>
    <w:rsid w:val="00DC5B17"/>
    <w:rsid w:val="00DC6CBB"/>
    <w:rsid w:val="00DC75C2"/>
    <w:rsid w:val="00DD193D"/>
    <w:rsid w:val="00DD3303"/>
    <w:rsid w:val="00DD3874"/>
    <w:rsid w:val="00DD4A27"/>
    <w:rsid w:val="00DD58F6"/>
    <w:rsid w:val="00DD5C39"/>
    <w:rsid w:val="00DD5EA4"/>
    <w:rsid w:val="00DD6202"/>
    <w:rsid w:val="00DD731B"/>
    <w:rsid w:val="00DE17DD"/>
    <w:rsid w:val="00DE1D24"/>
    <w:rsid w:val="00DE30BC"/>
    <w:rsid w:val="00DE62B6"/>
    <w:rsid w:val="00DE6B3B"/>
    <w:rsid w:val="00DE7F3A"/>
    <w:rsid w:val="00DF0D7A"/>
    <w:rsid w:val="00DF1235"/>
    <w:rsid w:val="00DF5246"/>
    <w:rsid w:val="00DF6324"/>
    <w:rsid w:val="00DF6B82"/>
    <w:rsid w:val="00E003F2"/>
    <w:rsid w:val="00E01241"/>
    <w:rsid w:val="00E02259"/>
    <w:rsid w:val="00E02358"/>
    <w:rsid w:val="00E0269C"/>
    <w:rsid w:val="00E02A4A"/>
    <w:rsid w:val="00E03192"/>
    <w:rsid w:val="00E04E1F"/>
    <w:rsid w:val="00E06FED"/>
    <w:rsid w:val="00E071B2"/>
    <w:rsid w:val="00E07303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4E34"/>
    <w:rsid w:val="00E157F1"/>
    <w:rsid w:val="00E16CF0"/>
    <w:rsid w:val="00E17113"/>
    <w:rsid w:val="00E21684"/>
    <w:rsid w:val="00E21974"/>
    <w:rsid w:val="00E224A1"/>
    <w:rsid w:val="00E23F89"/>
    <w:rsid w:val="00E24439"/>
    <w:rsid w:val="00E24BD7"/>
    <w:rsid w:val="00E24F35"/>
    <w:rsid w:val="00E25328"/>
    <w:rsid w:val="00E26F5E"/>
    <w:rsid w:val="00E27DA5"/>
    <w:rsid w:val="00E27E7A"/>
    <w:rsid w:val="00E30059"/>
    <w:rsid w:val="00E31A3D"/>
    <w:rsid w:val="00E31BE5"/>
    <w:rsid w:val="00E327B0"/>
    <w:rsid w:val="00E3344A"/>
    <w:rsid w:val="00E3362A"/>
    <w:rsid w:val="00E34DE9"/>
    <w:rsid w:val="00E34E9C"/>
    <w:rsid w:val="00E34F22"/>
    <w:rsid w:val="00E350B1"/>
    <w:rsid w:val="00E3603F"/>
    <w:rsid w:val="00E3705C"/>
    <w:rsid w:val="00E373CB"/>
    <w:rsid w:val="00E40A36"/>
    <w:rsid w:val="00E40CF6"/>
    <w:rsid w:val="00E41107"/>
    <w:rsid w:val="00E43B72"/>
    <w:rsid w:val="00E43B78"/>
    <w:rsid w:val="00E46773"/>
    <w:rsid w:val="00E478B8"/>
    <w:rsid w:val="00E50116"/>
    <w:rsid w:val="00E51816"/>
    <w:rsid w:val="00E51DE0"/>
    <w:rsid w:val="00E5259B"/>
    <w:rsid w:val="00E53724"/>
    <w:rsid w:val="00E54B0B"/>
    <w:rsid w:val="00E554AC"/>
    <w:rsid w:val="00E562A8"/>
    <w:rsid w:val="00E56E5F"/>
    <w:rsid w:val="00E62480"/>
    <w:rsid w:val="00E62792"/>
    <w:rsid w:val="00E62DAD"/>
    <w:rsid w:val="00E63300"/>
    <w:rsid w:val="00E64EBD"/>
    <w:rsid w:val="00E66522"/>
    <w:rsid w:val="00E6679C"/>
    <w:rsid w:val="00E670F4"/>
    <w:rsid w:val="00E712FC"/>
    <w:rsid w:val="00E71483"/>
    <w:rsid w:val="00E71978"/>
    <w:rsid w:val="00E71DD5"/>
    <w:rsid w:val="00E72BA3"/>
    <w:rsid w:val="00E72C78"/>
    <w:rsid w:val="00E73209"/>
    <w:rsid w:val="00E74539"/>
    <w:rsid w:val="00E75B11"/>
    <w:rsid w:val="00E805E7"/>
    <w:rsid w:val="00E83475"/>
    <w:rsid w:val="00E84A55"/>
    <w:rsid w:val="00E84B17"/>
    <w:rsid w:val="00E84D0D"/>
    <w:rsid w:val="00E84D8B"/>
    <w:rsid w:val="00E854A7"/>
    <w:rsid w:val="00E85855"/>
    <w:rsid w:val="00E86E86"/>
    <w:rsid w:val="00E90331"/>
    <w:rsid w:val="00E903E1"/>
    <w:rsid w:val="00E92A6B"/>
    <w:rsid w:val="00E946C0"/>
    <w:rsid w:val="00E9472A"/>
    <w:rsid w:val="00E947A1"/>
    <w:rsid w:val="00E94A3B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415"/>
    <w:rsid w:val="00EA7627"/>
    <w:rsid w:val="00EA7661"/>
    <w:rsid w:val="00EB2CFC"/>
    <w:rsid w:val="00EB3335"/>
    <w:rsid w:val="00EB3639"/>
    <w:rsid w:val="00EB4480"/>
    <w:rsid w:val="00EB4EF2"/>
    <w:rsid w:val="00EB5502"/>
    <w:rsid w:val="00EB59A9"/>
    <w:rsid w:val="00EB66F3"/>
    <w:rsid w:val="00EB6778"/>
    <w:rsid w:val="00EB6E5C"/>
    <w:rsid w:val="00EB7514"/>
    <w:rsid w:val="00EC03A2"/>
    <w:rsid w:val="00EC0797"/>
    <w:rsid w:val="00EC1A82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5D3"/>
    <w:rsid w:val="00ED464C"/>
    <w:rsid w:val="00ED5C48"/>
    <w:rsid w:val="00ED66C1"/>
    <w:rsid w:val="00ED77E2"/>
    <w:rsid w:val="00ED7D67"/>
    <w:rsid w:val="00ED7EC5"/>
    <w:rsid w:val="00EE251A"/>
    <w:rsid w:val="00EE2D53"/>
    <w:rsid w:val="00EE3196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7A1"/>
    <w:rsid w:val="00EF6B23"/>
    <w:rsid w:val="00EF6E2D"/>
    <w:rsid w:val="00EF726C"/>
    <w:rsid w:val="00EF74DA"/>
    <w:rsid w:val="00EF7EEB"/>
    <w:rsid w:val="00F01D51"/>
    <w:rsid w:val="00F02393"/>
    <w:rsid w:val="00F0298E"/>
    <w:rsid w:val="00F03113"/>
    <w:rsid w:val="00F058F1"/>
    <w:rsid w:val="00F10197"/>
    <w:rsid w:val="00F110C4"/>
    <w:rsid w:val="00F11116"/>
    <w:rsid w:val="00F12DF8"/>
    <w:rsid w:val="00F1350D"/>
    <w:rsid w:val="00F147A3"/>
    <w:rsid w:val="00F15DA0"/>
    <w:rsid w:val="00F20382"/>
    <w:rsid w:val="00F20F0D"/>
    <w:rsid w:val="00F22954"/>
    <w:rsid w:val="00F235F0"/>
    <w:rsid w:val="00F23F68"/>
    <w:rsid w:val="00F27678"/>
    <w:rsid w:val="00F27E3F"/>
    <w:rsid w:val="00F315DC"/>
    <w:rsid w:val="00F327A9"/>
    <w:rsid w:val="00F32F92"/>
    <w:rsid w:val="00F34D90"/>
    <w:rsid w:val="00F35074"/>
    <w:rsid w:val="00F35B46"/>
    <w:rsid w:val="00F3797D"/>
    <w:rsid w:val="00F40984"/>
    <w:rsid w:val="00F41B90"/>
    <w:rsid w:val="00F42B88"/>
    <w:rsid w:val="00F44BBC"/>
    <w:rsid w:val="00F4556A"/>
    <w:rsid w:val="00F45DA4"/>
    <w:rsid w:val="00F505E5"/>
    <w:rsid w:val="00F5114D"/>
    <w:rsid w:val="00F550F7"/>
    <w:rsid w:val="00F5558D"/>
    <w:rsid w:val="00F57CC4"/>
    <w:rsid w:val="00F57DB2"/>
    <w:rsid w:val="00F600E7"/>
    <w:rsid w:val="00F60403"/>
    <w:rsid w:val="00F60A25"/>
    <w:rsid w:val="00F60EAB"/>
    <w:rsid w:val="00F612F0"/>
    <w:rsid w:val="00F62B71"/>
    <w:rsid w:val="00F63E57"/>
    <w:rsid w:val="00F642F3"/>
    <w:rsid w:val="00F64B03"/>
    <w:rsid w:val="00F65D2A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4CF1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2B"/>
    <w:rsid w:val="00F9538E"/>
    <w:rsid w:val="00F96F88"/>
    <w:rsid w:val="00F97307"/>
    <w:rsid w:val="00FA075A"/>
    <w:rsid w:val="00FA0E73"/>
    <w:rsid w:val="00FA1CD0"/>
    <w:rsid w:val="00FA1E97"/>
    <w:rsid w:val="00FA2566"/>
    <w:rsid w:val="00FA2D32"/>
    <w:rsid w:val="00FA2E97"/>
    <w:rsid w:val="00FA4108"/>
    <w:rsid w:val="00FA51C3"/>
    <w:rsid w:val="00FA5636"/>
    <w:rsid w:val="00FA62CB"/>
    <w:rsid w:val="00FA66E9"/>
    <w:rsid w:val="00FA6D21"/>
    <w:rsid w:val="00FB12DA"/>
    <w:rsid w:val="00FB1490"/>
    <w:rsid w:val="00FB15EE"/>
    <w:rsid w:val="00FB1B75"/>
    <w:rsid w:val="00FB1FA3"/>
    <w:rsid w:val="00FB2D53"/>
    <w:rsid w:val="00FB48C7"/>
    <w:rsid w:val="00FB6DF2"/>
    <w:rsid w:val="00FB7B2E"/>
    <w:rsid w:val="00FC01E3"/>
    <w:rsid w:val="00FC04FB"/>
    <w:rsid w:val="00FC17F3"/>
    <w:rsid w:val="00FC2E4F"/>
    <w:rsid w:val="00FC3107"/>
    <w:rsid w:val="00FC456B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6A41"/>
    <w:rsid w:val="00FE75F9"/>
    <w:rsid w:val="00FE7CF9"/>
    <w:rsid w:val="00FF07BF"/>
    <w:rsid w:val="00FF07EE"/>
    <w:rsid w:val="00FF0B54"/>
    <w:rsid w:val="00FF1ACA"/>
    <w:rsid w:val="00FF20A7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  <w:style w:type="character" w:customStyle="1" w:styleId="30">
    <w:name w:val="Заголовок 3 Знак"/>
    <w:basedOn w:val="a0"/>
    <w:link w:val="3"/>
    <w:rsid w:val="00B7310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9005239658695797"/>
          <c:y val="0.11179918686634772"/>
          <c:w val="0.62763915547024962"/>
          <c:h val="0.751879699248146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8.3674882263903242E-3"/>
                  <c:y val="-9.0970905933324547E-3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448629308538141E-3"/>
                  <c:y val="-6.590719353000478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2.0917714784228165E-2"/>
                  <c:y val="-6.5906137768284734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-1.2</c:v>
                </c:pt>
                <c:pt idx="1">
                  <c:v>-0.60000000000000042</c:v>
                </c:pt>
                <c:pt idx="2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декабрю 2016 года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2"/>
              <c:layout>
                <c:manualLayout>
                  <c:x val="3.7522089794503041E-2"/>
                  <c:y val="-8.4502080064637747E-3"/>
                </c:manualLayout>
              </c:layout>
              <c:dLblPos val="outEnd"/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3.1</c:v>
                </c:pt>
                <c:pt idx="1">
                  <c:v>0.8</c:v>
                </c:pt>
                <c:pt idx="2">
                  <c:v>5.0999999999999996</c:v>
                </c:pt>
              </c:numCache>
            </c:numRef>
          </c:val>
        </c:ser>
        <c:gapWidth val="110"/>
        <c:axId val="148006400"/>
        <c:axId val="148007936"/>
      </c:barChart>
      <c:catAx>
        <c:axId val="14800640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007936"/>
        <c:crosses val="autoZero"/>
        <c:auto val="1"/>
        <c:lblAlgn val="ctr"/>
        <c:lblOffset val="1000"/>
        <c:tickLblSkip val="1"/>
        <c:tickMarkSkip val="1"/>
      </c:catAx>
      <c:valAx>
        <c:axId val="148007936"/>
        <c:scaling>
          <c:orientation val="minMax"/>
          <c:max val="8"/>
          <c:min val="-1.3"/>
        </c:scaling>
        <c:delete val="1"/>
        <c:axPos val="b"/>
        <c:numFmt formatCode="#,##0.0" sourceLinked="1"/>
        <c:tickLblPos val="none"/>
        <c:crossAx val="148006400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1900191938579656"/>
          <c:y val="0.89473684210526361"/>
          <c:w val="0.74280230326295549"/>
          <c:h val="6.2656641604010133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608"/>
          <c:y val="3.8901601830663615E-2"/>
          <c:w val="0.67962962962965612"/>
          <c:h val="0.83981693363845678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2017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FF"/>
                </a:solidFill>
                <a:ln>
                  <a:noFill/>
                  <a:prstDash val="solid"/>
                </a:ln>
              </c:spPr>
            </c:marker>
            <c:spPr>
              <a:ln w="12683">
                <a:noFill/>
                <a:prstDash val="solid"/>
              </a:ln>
            </c:spPr>
          </c:dPt>
          <c:dLbls>
            <c:dLbl>
              <c:idx val="0"/>
              <c:layout>
                <c:manualLayout>
                  <c:x val="-2.1778324221100272E-2"/>
                  <c:y val="9.1319942150088526E-2"/>
                </c:manualLayout>
              </c:layout>
              <c:showVal val="1"/>
            </c:dLbl>
            <c:dLbl>
              <c:idx val="1"/>
              <c:layout>
                <c:manualLayout>
                  <c:x val="-1.244059608827966E-2"/>
                  <c:y val="5.8841501955112813E-2"/>
                </c:manualLayout>
              </c:layout>
              <c:showVal val="1"/>
            </c:dLbl>
            <c:dLbl>
              <c:idx val="2"/>
              <c:layout>
                <c:manualLayout>
                  <c:x val="-3.2850978545115213E-2"/>
                  <c:y val="3.9605218252357216E-2"/>
                </c:manualLayout>
              </c:layout>
              <c:showVal val="1"/>
            </c:dLbl>
            <c:dLbl>
              <c:idx val="3"/>
              <c:layout>
                <c:manualLayout>
                  <c:x val="-4.4461143964975282E-2"/>
                  <c:y val="1.4530518609514381E-2"/>
                </c:manualLayout>
              </c:layout>
              <c:showVal val="1"/>
            </c:dLbl>
            <c:dLbl>
              <c:idx val="4"/>
              <c:layout>
                <c:manualLayout>
                  <c:x val="-9.1971980669696946E-2"/>
                  <c:y val="-2.92838453600099E-2"/>
                </c:manualLayout>
              </c:layout>
              <c:showVal val="1"/>
            </c:dLbl>
            <c:dLbl>
              <c:idx val="5"/>
              <c:layout>
                <c:manualLayout>
                  <c:x val="-6.9105963280883198E-2"/>
                  <c:y val="-8.4403151621153999E-2"/>
                </c:manualLayout>
              </c:layout>
              <c:showVal val="1"/>
            </c:dLbl>
            <c:dLbl>
              <c:idx val="6"/>
              <c:layout>
                <c:manualLayout>
                  <c:x val="-1.7677644138329156E-2"/>
                  <c:y val="-0.10549301335799077"/>
                </c:manualLayout>
              </c:layout>
              <c:showVal val="1"/>
            </c:dLbl>
            <c:dLbl>
              <c:idx val="7"/>
              <c:layout>
                <c:manualLayout>
                  <c:x val="3.9259519257530004E-2"/>
                  <c:y val="-3.5995500562429852E-2"/>
                </c:manualLayout>
              </c:layout>
              <c:showVal val="1"/>
            </c:dLbl>
            <c:dLbl>
              <c:idx val="8"/>
              <c:layout>
                <c:manualLayout>
                  <c:x val="5.0490296875164334E-2"/>
                  <c:y val="-6.2639505485011862E-3"/>
                </c:manualLayout>
              </c:layout>
              <c:showVal val="1"/>
            </c:dLbl>
            <c:dLbl>
              <c:idx val="9"/>
              <c:layout>
                <c:manualLayout>
                  <c:x val="5.7320309757830833E-2"/>
                  <c:y val="3.3456162807235304E-2"/>
                </c:manualLayout>
              </c:layout>
              <c:showVal val="1"/>
            </c:dLbl>
            <c:dLbl>
              <c:idx val="10"/>
              <c:layout>
                <c:manualLayout>
                  <c:x val="3.3027828280847819E-2"/>
                  <c:y val="5.8607172536034875E-2"/>
                </c:manualLayout>
              </c:layout>
              <c:showVal val="1"/>
            </c:dLbl>
            <c:dLbl>
              <c:idx val="11"/>
              <c:layout>
                <c:manualLayout>
                  <c:x val="-1.0562849556719383E-2"/>
                  <c:y val="8.9512668059349765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0.8</c:v>
                </c:pt>
                <c:pt idx="1">
                  <c:v>0.9</c:v>
                </c:pt>
                <c:pt idx="2">
                  <c:v>0.8</c:v>
                </c:pt>
                <c:pt idx="3">
                  <c:v>1.3</c:v>
                </c:pt>
                <c:pt idx="4" formatCode="0.0">
                  <c:v>2.04</c:v>
                </c:pt>
                <c:pt idx="5">
                  <c:v>2.5</c:v>
                </c:pt>
                <c:pt idx="6">
                  <c:v>2.8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1.0811206738692547E-2"/>
                  <c:y val="5.1096470084097033E-2"/>
                </c:manualLayout>
              </c:layout>
              <c:showVal val="1"/>
            </c:dLbl>
            <c:dLbl>
              <c:idx val="1"/>
              <c:layout>
                <c:manualLayout>
                  <c:x val="-3.4762515150722359E-2"/>
                  <c:y val="4.979848947453086E-2"/>
                </c:manualLayout>
              </c:layout>
              <c:showVal val="1"/>
            </c:dLbl>
            <c:dLbl>
              <c:idx val="2"/>
              <c:layout>
                <c:manualLayout>
                  <c:x val="-5.2854788500274683E-2"/>
                  <c:y val="1.8996625421822323E-2"/>
                </c:manualLayout>
              </c:layout>
              <c:showVal val="1"/>
            </c:dLbl>
            <c:dLbl>
              <c:idx val="3"/>
              <c:layout>
                <c:manualLayout>
                  <c:x val="-5.3297058797882775E-2"/>
                  <c:y val="-1.3037870266216953E-2"/>
                </c:manualLayout>
              </c:layout>
              <c:showVal val="1"/>
            </c:dLbl>
            <c:dLbl>
              <c:idx val="4"/>
              <c:layout>
                <c:manualLayout>
                  <c:x val="-2.5800326376484592E-2"/>
                  <c:y val="-5.5489510556928433E-2"/>
                </c:manualLayout>
              </c:layout>
              <c:showVal val="1"/>
            </c:dLbl>
            <c:dLbl>
              <c:idx val="5"/>
              <c:layout>
                <c:manualLayout>
                  <c:x val="-3.8753934827914012E-2"/>
                  <c:y val="-3.5953077293909695E-2"/>
                </c:manualLayout>
              </c:layout>
              <c:showVal val="1"/>
            </c:dLbl>
            <c:dLbl>
              <c:idx val="6"/>
              <c:layout>
                <c:manualLayout>
                  <c:x val="-1.2115346046860419E-2"/>
                  <c:y val="-5.9613905404681734E-2"/>
                </c:manualLayout>
              </c:layout>
              <c:showVal val="1"/>
            </c:dLbl>
            <c:dLbl>
              <c:idx val="7"/>
              <c:layout>
                <c:manualLayout>
                  <c:x val="1.0298131338233887E-2"/>
                  <c:y val="-7.0138518399485775E-2"/>
                </c:manualLayout>
              </c:layout>
              <c:showVal val="1"/>
            </c:dLbl>
            <c:dLbl>
              <c:idx val="8"/>
              <c:layout>
                <c:manualLayout>
                  <c:x val="3.3288513354435348E-2"/>
                  <c:y val="-4.5209491670684006E-2"/>
                </c:manualLayout>
              </c:layout>
              <c:showVal val="1"/>
            </c:dLbl>
            <c:dLbl>
              <c:idx val="9"/>
              <c:layout>
                <c:manualLayout>
                  <c:x val="5.1191042980092555E-2"/>
                  <c:y val="6.1535165247201314E-3"/>
                </c:manualLayout>
              </c:layout>
              <c:showVal val="1"/>
            </c:dLbl>
            <c:dLbl>
              <c:idx val="10"/>
              <c:layout>
                <c:manualLayout>
                  <c:x val="3.7656106940120899E-2"/>
                  <c:y val="3.9958433767207618E-2"/>
                </c:manualLayout>
              </c:layout>
              <c:showVal val="1"/>
            </c:dLbl>
            <c:dLbl>
              <c:idx val="11"/>
              <c:layout>
                <c:manualLayout>
                  <c:x val="6.1670546995578945E-2"/>
                  <c:y val="5.4693877551021175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  <c:pt idx="7">
                  <c:v>3.8</c:v>
                </c:pt>
                <c:pt idx="8">
                  <c:v>3.9</c:v>
                </c:pt>
                <c:pt idx="9">
                  <c:v>4.4000000000000004</c:v>
                </c:pt>
                <c:pt idx="10">
                  <c:v>4.9000000000000004</c:v>
                </c:pt>
                <c:pt idx="11">
                  <c:v>5.4</c:v>
                </c:pt>
              </c:numCache>
            </c:numRef>
          </c:val>
        </c:ser>
        <c:axId val="148789120"/>
        <c:axId val="148790656"/>
      </c:radarChart>
      <c:catAx>
        <c:axId val="148789120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8790656"/>
        <c:crosses val="autoZero"/>
        <c:lblAlgn val="ctr"/>
        <c:lblOffset val="100"/>
      </c:catAx>
      <c:valAx>
        <c:axId val="148790656"/>
        <c:scaling>
          <c:orientation val="minMax"/>
          <c:max val="6"/>
          <c:min val="0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148789120"/>
        <c:crosses val="autoZero"/>
        <c:crossBetween val="between"/>
        <c:majorUnit val="6"/>
        <c:minorUnit val="0.4"/>
      </c:valAx>
    </c:plotArea>
    <c:legend>
      <c:legendPos val="b"/>
      <c:layout>
        <c:manualLayout>
          <c:xMode val="edge"/>
          <c:yMode val="edge"/>
          <c:x val="0.30674514522893925"/>
          <c:y val="0.92551202528254395"/>
          <c:w val="0.37479435075474082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10987815864668157"/>
          <c:y val="0.14135919251704404"/>
          <c:w val="0.85365853658538993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0"/>
            </a:sp3d>
          </c:spPr>
          <c:dPt>
            <c:idx val="1"/>
            <c:spPr>
              <a:gradFill rotWithShape="0">
                <a:gsLst>
                  <a:gs pos="0">
                    <a:srgbClr val="FFCC00">
                      <a:gamma/>
                      <a:shade val="46275"/>
                      <a:invGamma/>
                    </a:srgbClr>
                  </a:gs>
                  <a:gs pos="5000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25400"/>
              </a:sp3d>
            </c:spPr>
          </c:dPt>
          <c:dLbls>
            <c:dLbl>
              <c:idx val="0"/>
              <c:layout>
                <c:manualLayout>
                  <c:x val="4.3503022639753714E-3"/>
                  <c:y val="8.1880846572356528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8731E-3"/>
                </c:manualLayout>
              </c:layout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1.07.16</c:v>
                </c:pt>
                <c:pt idx="1">
                  <c:v>на 1.07.17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36</c:v>
                </c:pt>
                <c:pt idx="1">
                  <c:v>41.2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2.6546323334218198E-3"/>
                  <c:y val="-1.3422818791946341E-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1.07.16</c:v>
                </c:pt>
                <c:pt idx="1">
                  <c:v>на 1.07.17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-12.5</c:v>
                </c:pt>
                <c:pt idx="1">
                  <c:v>-8.4</c:v>
                </c:pt>
              </c:numCache>
            </c:numRef>
          </c:val>
        </c:ser>
        <c:gapWidth val="153"/>
        <c:overlap val="-5"/>
        <c:axId val="148973824"/>
        <c:axId val="148979712"/>
      </c:barChart>
      <c:catAx>
        <c:axId val="148973824"/>
        <c:scaling>
          <c:orientation val="minMax"/>
        </c:scaling>
        <c:delete val="1"/>
        <c:axPos val="l"/>
        <c:tickLblPos val="none"/>
        <c:crossAx val="148979712"/>
        <c:crossesAt val="0"/>
        <c:lblAlgn val="ctr"/>
        <c:lblOffset val="100"/>
      </c:catAx>
      <c:valAx>
        <c:axId val="148979712"/>
        <c:scaling>
          <c:orientation val="minMax"/>
          <c:max val="80"/>
          <c:min val="-20"/>
        </c:scaling>
        <c:delete val="1"/>
        <c:axPos val="b"/>
        <c:numFmt formatCode="#,##0.0" sourceLinked="1"/>
        <c:tickLblPos val="none"/>
        <c:crossAx val="148973824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5.0813008130081834E-2"/>
          <c:y val="0.90277777777777779"/>
          <c:w val="0.90243902439024359"/>
          <c:h val="0.10069444444444479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 w="6350"/>
    </a:sp3d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58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18.5</c:v>
                </c:pt>
                <c:pt idx="1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33.200000000000003</c:v>
                </c:pt>
                <c:pt idx="1">
                  <c:v>36.200000000000003</c:v>
                </c:pt>
              </c:numCache>
            </c:numRef>
          </c:val>
        </c:ser>
        <c:dLbls>
          <c:showVal val="1"/>
        </c:dLbls>
        <c:gapWidth val="30"/>
        <c:axId val="149160704"/>
        <c:axId val="149162240"/>
      </c:barChart>
      <c:catAx>
        <c:axId val="149160704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162240"/>
        <c:crossesAt val="0"/>
        <c:lblAlgn val="ctr"/>
        <c:lblOffset val="100"/>
        <c:tickLblSkip val="1"/>
        <c:tickMarkSkip val="1"/>
      </c:catAx>
      <c:valAx>
        <c:axId val="149162240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149160704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6868"/>
          <c:w val="0.95074946466812305"/>
          <c:h val="0.15335463258786469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1.07.2017 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</a:t>
          </a: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/>
              <a:cs typeface="Times New Roman"/>
            </a:rPr>
            <a:t>1.07.2016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CD85F-3C7A-4C07-ABC2-0078088A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126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i.zubkova</cp:lastModifiedBy>
  <cp:revision>82</cp:revision>
  <cp:lastPrinted>2017-09-07T07:36:00Z</cp:lastPrinted>
  <dcterms:created xsi:type="dcterms:W3CDTF">2017-08-07T12:27:00Z</dcterms:created>
  <dcterms:modified xsi:type="dcterms:W3CDTF">2017-09-07T07:37:00Z</dcterms:modified>
</cp:coreProperties>
</file>