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16" w:rsidRPr="00B5338A" w:rsidRDefault="00647616" w:rsidP="0085787D">
      <w:pPr>
        <w:spacing w:after="0" w:line="240" w:lineRule="auto"/>
        <w:jc w:val="center"/>
        <w:rPr>
          <w:sz w:val="28"/>
          <w:szCs w:val="28"/>
        </w:rPr>
      </w:pPr>
      <w:r w:rsidRPr="00B5338A">
        <w:rPr>
          <w:sz w:val="28"/>
          <w:szCs w:val="28"/>
        </w:rPr>
        <w:t>ПАСПОРТ</w:t>
      </w:r>
    </w:p>
    <w:p w:rsidR="009A4B24" w:rsidRPr="006F1899" w:rsidRDefault="00647616" w:rsidP="009A4B24">
      <w:pPr>
        <w:spacing w:after="0" w:line="240" w:lineRule="auto"/>
        <w:jc w:val="center"/>
        <w:rPr>
          <w:sz w:val="28"/>
          <w:szCs w:val="28"/>
        </w:rPr>
      </w:pPr>
      <w:r w:rsidRPr="006F1899">
        <w:rPr>
          <w:sz w:val="28"/>
          <w:szCs w:val="28"/>
        </w:rPr>
        <w:t>т</w:t>
      </w:r>
      <w:r w:rsidR="008D7ADD" w:rsidRPr="006F1899">
        <w:rPr>
          <w:sz w:val="28"/>
          <w:szCs w:val="28"/>
        </w:rPr>
        <w:t>ерритори</w:t>
      </w:r>
      <w:r w:rsidRPr="006F1899">
        <w:rPr>
          <w:sz w:val="28"/>
          <w:szCs w:val="28"/>
        </w:rPr>
        <w:t>и</w:t>
      </w:r>
      <w:r w:rsidR="008D7ADD" w:rsidRPr="006F1899">
        <w:rPr>
          <w:sz w:val="28"/>
          <w:szCs w:val="28"/>
        </w:rPr>
        <w:t xml:space="preserve"> </w:t>
      </w:r>
      <w:r w:rsidR="00DF5BE8" w:rsidRPr="006F1899">
        <w:rPr>
          <w:sz w:val="28"/>
          <w:szCs w:val="28"/>
        </w:rPr>
        <w:t>в границах улицы Азовская, проспекта Гагарина в Приокском районе</w:t>
      </w:r>
    </w:p>
    <w:tbl>
      <w:tblPr>
        <w:tblW w:w="14931" w:type="dxa"/>
        <w:tblCellMar>
          <w:left w:w="0" w:type="dxa"/>
          <w:right w:w="0" w:type="dxa"/>
        </w:tblCellMar>
        <w:tblLook w:val="04A0"/>
      </w:tblPr>
      <w:tblGrid>
        <w:gridCol w:w="5717"/>
        <w:gridCol w:w="9214"/>
      </w:tblGrid>
      <w:tr w:rsidR="00DF0823" w:rsidRPr="000B1947" w:rsidTr="00B87826">
        <w:trPr>
          <w:trHeight w:val="400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DF0823" w:rsidRPr="000B1947" w:rsidRDefault="00DF0823" w:rsidP="009A4B24">
            <w:pPr>
              <w:spacing w:after="0" w:line="240" w:lineRule="auto"/>
              <w:rPr>
                <w:sz w:val="24"/>
                <w:szCs w:val="24"/>
              </w:rPr>
            </w:pPr>
            <w:r w:rsidRPr="000B1947">
              <w:rPr>
                <w:bCs/>
                <w:sz w:val="24"/>
                <w:szCs w:val="24"/>
              </w:rPr>
              <w:t>Площадь застроенной территории</w:t>
            </w:r>
            <w:r w:rsidRPr="000B1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DF0823" w:rsidRPr="000B1947" w:rsidRDefault="00BB5C56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A793E">
              <w:t>2,</w:t>
            </w:r>
            <w:r w:rsidR="005C4D4A">
              <w:t>9</w:t>
            </w:r>
            <w:r w:rsidR="00F240E8">
              <w:rPr>
                <w:bCs/>
                <w:sz w:val="24"/>
                <w:szCs w:val="24"/>
              </w:rPr>
              <w:t>га</w:t>
            </w:r>
            <w:r w:rsidR="00FD3D69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A6BAC" w:rsidRPr="000B1947" w:rsidTr="00B87826">
        <w:trPr>
          <w:trHeight w:val="625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9A6BAC" w:rsidRPr="000B1947" w:rsidRDefault="009A6BAC" w:rsidP="009A4B2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B1947">
              <w:rPr>
                <w:bCs/>
                <w:sz w:val="24"/>
                <w:szCs w:val="24"/>
              </w:rPr>
              <w:t xml:space="preserve">Краткое описание  застроенной территории 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BA3E75" w:rsidRPr="003D293F" w:rsidRDefault="00BA3E75" w:rsidP="00F13E3E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</w:pPr>
            <w:r w:rsidRPr="003D293F"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Территория расположена в </w:t>
            </w:r>
            <w:r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>Приокском</w:t>
            </w:r>
            <w:r w:rsidRPr="003D293F"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районе города Нижнего Новгорода.</w:t>
            </w:r>
          </w:p>
          <w:p w:rsidR="00BA3E75" w:rsidRPr="003D293F" w:rsidRDefault="00BA3E75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D293F">
              <w:rPr>
                <w:sz w:val="24"/>
                <w:szCs w:val="24"/>
              </w:rPr>
              <w:t>З</w:t>
            </w:r>
            <w:r w:rsidRPr="003D293F">
              <w:rPr>
                <w:rFonts w:eastAsia="Calibri" w:cs="Times New Roman"/>
                <w:sz w:val="24"/>
                <w:szCs w:val="24"/>
              </w:rPr>
              <w:t>емельные участки в пределах застроенной территории расположены</w:t>
            </w:r>
            <w:r w:rsidRPr="003D293F">
              <w:rPr>
                <w:sz w:val="24"/>
                <w:szCs w:val="24"/>
              </w:rPr>
              <w:t>:</w:t>
            </w:r>
          </w:p>
          <w:p w:rsidR="00BA3E75" w:rsidRPr="00D360CC" w:rsidRDefault="00BA3E75" w:rsidP="00F13E3E">
            <w:pPr>
              <w:spacing w:after="0" w:line="240" w:lineRule="auto"/>
              <w:jc w:val="both"/>
              <w:rPr>
                <w:rStyle w:val="fontstyle01"/>
                <w:rFonts w:eastAsia="Calibri" w:cs="Times New Roman"/>
                <w:sz w:val="24"/>
                <w:szCs w:val="24"/>
              </w:rPr>
            </w:pPr>
            <w:r w:rsidRPr="003D293F">
              <w:rPr>
                <w:sz w:val="24"/>
                <w:szCs w:val="24"/>
              </w:rPr>
              <w:t>- согласн</w:t>
            </w:r>
            <w:r>
              <w:rPr>
                <w:sz w:val="24"/>
                <w:szCs w:val="24"/>
              </w:rPr>
              <w:t>о генеральному плану города – в</w:t>
            </w:r>
            <w:r w:rsidRPr="003D293F">
              <w:rPr>
                <w:rFonts w:eastAsia="Calibri" w:cs="Times New Roman"/>
                <w:sz w:val="24"/>
                <w:szCs w:val="24"/>
              </w:rPr>
              <w:t xml:space="preserve"> функциональн</w:t>
            </w:r>
            <w:r>
              <w:rPr>
                <w:sz w:val="24"/>
                <w:szCs w:val="24"/>
              </w:rPr>
              <w:t>ых</w:t>
            </w:r>
            <w:r w:rsidRPr="003D293F">
              <w:rPr>
                <w:rFonts w:eastAsia="Calibri" w:cs="Times New Roman"/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ах:</w:t>
            </w:r>
            <w:r w:rsidRPr="003D293F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О</w:t>
            </w:r>
            <w:r w:rsidRPr="003D293F">
              <w:rPr>
                <w:rFonts w:ascii="Calibri" w:eastAsia="Calibri" w:hAnsi="Calibri" w:cs="Times New Roman"/>
                <w:sz w:val="24"/>
                <w:szCs w:val="24"/>
              </w:rPr>
              <w:t>-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Pr="003D293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3D293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(</w:t>
            </w:r>
            <w:r w:rsidRPr="003D293F">
              <w:rPr>
                <w:color w:val="000000" w:themeColor="text1"/>
                <w:sz w:val="24"/>
                <w:szCs w:val="24"/>
              </w:rPr>
              <w:t xml:space="preserve">зона </w:t>
            </w:r>
            <w:r w:rsidRPr="00DC779E">
              <w:rPr>
                <w:rFonts w:ascii="Calibri" w:hAnsi="Calibri"/>
                <w:color w:val="000000" w:themeColor="text1"/>
                <w:sz w:val="24"/>
                <w:szCs w:val="24"/>
              </w:rPr>
              <w:t>многофункциональн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ой</w:t>
            </w:r>
            <w:r w:rsidRPr="00DC779E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общественн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ой</w:t>
            </w:r>
            <w:r w:rsidRPr="00DC779E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застройк</w:t>
            </w:r>
            <w:r>
              <w:rPr>
                <w:rFonts w:ascii="Calibri" w:hAnsi="Calibri"/>
                <w:color w:val="000000" w:themeColor="text1"/>
                <w:sz w:val="24"/>
                <w:szCs w:val="24"/>
              </w:rPr>
              <w:t>и</w:t>
            </w:r>
            <w:r w:rsidRPr="00DC779E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местного значения – городских районов и планировочных </w:t>
            </w:r>
            <w:r w:rsidRPr="0068175A">
              <w:rPr>
                <w:rFonts w:ascii="Calibri" w:hAnsi="Calibri"/>
                <w:color w:val="000000" w:themeColor="text1"/>
                <w:sz w:val="24"/>
                <w:szCs w:val="24"/>
              </w:rPr>
              <w:t>частей</w:t>
            </w:r>
            <w:r w:rsidRPr="003D293F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,</w:t>
            </w:r>
            <w:r w:rsidRPr="00D360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360CC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Р-3с (зона скверов, бульваров)</w:t>
            </w:r>
            <w:r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;</w:t>
            </w:r>
          </w:p>
          <w:p w:rsidR="00BA3E75" w:rsidRPr="00D360CC" w:rsidRDefault="00BA3E75" w:rsidP="00F13E3E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color w:val="auto"/>
                <w:sz w:val="24"/>
                <w:szCs w:val="24"/>
              </w:rPr>
            </w:pPr>
            <w:r w:rsidRPr="003D293F"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>- согласно Правил</w:t>
            </w:r>
            <w:r w:rsidR="0093686E"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>ам</w:t>
            </w:r>
            <w:r w:rsidRPr="003D293F"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землепользования и застройки город</w:t>
            </w:r>
            <w:r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>а</w:t>
            </w:r>
            <w:r w:rsidRPr="003D293F"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Нижне</w:t>
            </w:r>
            <w:r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>го</w:t>
            </w:r>
            <w:r w:rsidRPr="003D293F"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Новгород</w:t>
            </w:r>
            <w:r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>а</w:t>
            </w:r>
            <w:r w:rsidRPr="003D293F"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–  в территориальной </w:t>
            </w:r>
            <w:r w:rsidRPr="00ED724A">
              <w:rPr>
                <w:rStyle w:val="fontstyle01"/>
                <w:bCs/>
                <w:color w:val="auto"/>
                <w:sz w:val="24"/>
                <w:szCs w:val="24"/>
              </w:rPr>
              <w:t>зоне П*ТО-2 (</w:t>
            </w:r>
            <w:r w:rsidRPr="00ED724A">
              <w:rPr>
                <w:rFonts w:ascii="Calibri" w:hAnsi="Calibri"/>
                <w:color w:val="000000" w:themeColor="text1"/>
                <w:sz w:val="24"/>
                <w:szCs w:val="24"/>
                <w:lang w:eastAsia="ru-RU"/>
              </w:rPr>
              <w:t xml:space="preserve">зона </w:t>
            </w:r>
            <w:r w:rsidRPr="00ED724A">
              <w:rPr>
                <w:rFonts w:ascii="Calibri" w:hAnsi="Calibri"/>
                <w:color w:val="000000" w:themeColor="text1"/>
                <w:sz w:val="24"/>
                <w:szCs w:val="24"/>
              </w:rPr>
              <w:t>реорганизации застройки в  многофункциональную общественную застройку местного значения – городских районов и планировочных частей</w:t>
            </w:r>
            <w:r w:rsidRPr="00ED724A">
              <w:rPr>
                <w:rFonts w:ascii="Calibri" w:eastAsia="Calibri" w:hAnsi="Calibri" w:cs="Times New Roman"/>
                <w:sz w:val="24"/>
                <w:szCs w:val="24"/>
              </w:rPr>
              <w:t>),</w:t>
            </w:r>
            <w:r w:rsidRPr="006817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68175A">
              <w:rPr>
                <w:sz w:val="24"/>
                <w:szCs w:val="24"/>
              </w:rPr>
              <w:t>подготовка документации по планировке территории осуществляется в соответствии с градостроительными регламентами территориальной зоны ТО-2</w:t>
            </w:r>
            <w:r>
              <w:rPr>
                <w:sz w:val="24"/>
                <w:szCs w:val="24"/>
              </w:rPr>
              <w:t xml:space="preserve"> (</w:t>
            </w:r>
            <w:r w:rsidRPr="00D360CC">
              <w:rPr>
                <w:sz w:val="24"/>
                <w:szCs w:val="24"/>
              </w:rPr>
              <w:t>зона многофункциональной общественной застройки местного значения - городских районов и планировочн</w:t>
            </w:r>
            <w:r>
              <w:rPr>
                <w:sz w:val="24"/>
                <w:szCs w:val="24"/>
              </w:rPr>
              <w:t>ых частей)</w:t>
            </w:r>
            <w:r w:rsidRPr="0068175A">
              <w:rPr>
                <w:rStyle w:val="fontstyle01"/>
                <w:bCs/>
                <w:color w:val="auto"/>
                <w:sz w:val="24"/>
                <w:szCs w:val="24"/>
              </w:rPr>
              <w:t>.</w:t>
            </w:r>
          </w:p>
          <w:p w:rsidR="00BA3E75" w:rsidRPr="00E814E6" w:rsidRDefault="001F33EF" w:rsidP="00F13E3E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>*</w:t>
            </w:r>
            <w:r w:rsidR="00BA3E75" w:rsidRPr="00FE2347"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  <w:t>О</w:t>
            </w:r>
            <w:r w:rsidR="00BA3E75" w:rsidRPr="00FE2347">
              <w:rPr>
                <w:rStyle w:val="fontstyle01"/>
                <w:rFonts w:asciiTheme="minorHAnsi" w:hAnsiTheme="minorHAnsi"/>
                <w:sz w:val="24"/>
                <w:szCs w:val="24"/>
              </w:rPr>
              <w:t>сновным</w:t>
            </w:r>
            <w:r w:rsidR="00BA3E75">
              <w:rPr>
                <w:rStyle w:val="fontstyle01"/>
                <w:rFonts w:asciiTheme="minorHAnsi" w:hAnsiTheme="minorHAnsi"/>
                <w:sz w:val="24"/>
                <w:szCs w:val="24"/>
              </w:rPr>
              <w:t>и</w:t>
            </w:r>
            <w:r w:rsidR="00BA3E75" w:rsidRPr="00FE234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ви</w:t>
            </w:r>
            <w:r w:rsidR="00BA3E75">
              <w:rPr>
                <w:rStyle w:val="fontstyle01"/>
                <w:rFonts w:asciiTheme="minorHAnsi" w:hAnsiTheme="minorHAnsi"/>
                <w:sz w:val="24"/>
                <w:szCs w:val="24"/>
              </w:rPr>
              <w:t>да</w:t>
            </w:r>
            <w:r w:rsidR="00BA3E75" w:rsidRPr="00FE2347">
              <w:rPr>
                <w:rStyle w:val="fontstyle01"/>
                <w:rFonts w:asciiTheme="minorHAnsi" w:hAnsiTheme="minorHAnsi"/>
                <w:sz w:val="24"/>
                <w:szCs w:val="24"/>
              </w:rPr>
              <w:t>м</w:t>
            </w:r>
            <w:r w:rsidR="00BA3E75">
              <w:rPr>
                <w:rStyle w:val="fontstyle01"/>
                <w:rFonts w:asciiTheme="minorHAnsi" w:hAnsiTheme="minorHAnsi"/>
                <w:sz w:val="24"/>
                <w:szCs w:val="24"/>
              </w:rPr>
              <w:t>и</w:t>
            </w:r>
            <w:r w:rsidR="00BA3E75" w:rsidRPr="00FE234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разрешенного использования земельных участков </w:t>
            </w:r>
            <w:r w:rsidR="00BA3E7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для </w:t>
            </w:r>
            <w:r w:rsidR="00BA3E75" w:rsidRPr="00FE234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территориальной зон</w:t>
            </w:r>
            <w:r w:rsidR="00BA3E75">
              <w:rPr>
                <w:rStyle w:val="fontstyle01"/>
                <w:rFonts w:asciiTheme="minorHAnsi" w:hAnsiTheme="minorHAnsi"/>
                <w:sz w:val="24"/>
                <w:szCs w:val="24"/>
              </w:rPr>
              <w:t>ы ТО-2</w:t>
            </w:r>
            <w:r w:rsidR="00BA3E75" w:rsidRPr="00FE234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="00BA3E75" w:rsidRPr="003D293F">
              <w:rPr>
                <w:rStyle w:val="fontstyle01"/>
                <w:rFonts w:asciiTheme="minorHAnsi" w:hAnsiTheme="minorHAnsi"/>
                <w:sz w:val="24"/>
                <w:szCs w:val="24"/>
              </w:rPr>
              <w:t>явля</w:t>
            </w:r>
            <w:r w:rsidR="00BA3E75">
              <w:rPr>
                <w:rStyle w:val="fontstyle01"/>
                <w:rFonts w:asciiTheme="minorHAnsi" w:hAnsiTheme="minorHAnsi"/>
                <w:sz w:val="24"/>
                <w:szCs w:val="24"/>
              </w:rPr>
              <w:t>ю</w:t>
            </w:r>
            <w:r w:rsidR="00BA3E75" w:rsidRPr="003D293F">
              <w:rPr>
                <w:rStyle w:val="fontstyle01"/>
                <w:rFonts w:asciiTheme="minorHAnsi" w:hAnsiTheme="minorHAnsi"/>
                <w:sz w:val="24"/>
                <w:szCs w:val="24"/>
              </w:rPr>
              <w:t>тся</w:t>
            </w:r>
            <w:r w:rsidR="00BA3E75">
              <w:rPr>
                <w:rStyle w:val="fontstyle01"/>
                <w:rFonts w:asciiTheme="minorHAnsi" w:hAnsiTheme="minorHAnsi"/>
                <w:sz w:val="24"/>
                <w:szCs w:val="24"/>
              </w:rPr>
              <w:t>:</w:t>
            </w:r>
            <w:r w:rsidR="00BA3E75" w:rsidRPr="003D293F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="00BA3E75" w:rsidRPr="0068175A">
              <w:rPr>
                <w:sz w:val="24"/>
                <w:szCs w:val="24"/>
                <w:u w:val="single"/>
              </w:rPr>
              <w:t xml:space="preserve">общественное использование объектов капитального строительства (3.0), </w:t>
            </w:r>
            <w:r w:rsidR="00BA3E75" w:rsidRPr="003502D0">
              <w:rPr>
                <w:sz w:val="24"/>
                <w:szCs w:val="24"/>
                <w:u w:val="single"/>
              </w:rPr>
              <w:t>коммунальное обслуживание (3.1),</w:t>
            </w:r>
            <w:r w:rsidR="00BA3E75">
              <w:rPr>
                <w:sz w:val="24"/>
                <w:szCs w:val="24"/>
                <w:u w:val="single"/>
              </w:rPr>
              <w:t xml:space="preserve"> социальное обслуживание (3.2),</w:t>
            </w:r>
            <w:r w:rsidR="00BA3E75" w:rsidRPr="003502D0">
              <w:rPr>
                <w:sz w:val="24"/>
                <w:szCs w:val="24"/>
                <w:u w:val="single"/>
              </w:rPr>
              <w:t xml:space="preserve"> </w:t>
            </w:r>
            <w:r w:rsidR="00BA3E75">
              <w:rPr>
                <w:sz w:val="24"/>
                <w:szCs w:val="24"/>
                <w:u w:val="single"/>
              </w:rPr>
              <w:t>обслуживание автотранспорта</w:t>
            </w:r>
            <w:r w:rsidR="00BA3E75" w:rsidRPr="003502D0">
              <w:rPr>
                <w:sz w:val="24"/>
                <w:szCs w:val="24"/>
                <w:u w:val="single"/>
              </w:rPr>
              <w:t xml:space="preserve"> (</w:t>
            </w:r>
            <w:r w:rsidR="00BA3E75">
              <w:rPr>
                <w:sz w:val="24"/>
                <w:szCs w:val="24"/>
                <w:u w:val="single"/>
              </w:rPr>
              <w:t>4.9</w:t>
            </w:r>
            <w:r w:rsidR="00BA3E75" w:rsidRPr="003502D0">
              <w:rPr>
                <w:sz w:val="24"/>
                <w:szCs w:val="24"/>
                <w:u w:val="single"/>
              </w:rPr>
              <w:t>),</w:t>
            </w:r>
            <w:r w:rsidR="00BA3E75">
              <w:rPr>
                <w:sz w:val="24"/>
                <w:szCs w:val="24"/>
                <w:u w:val="single"/>
              </w:rPr>
              <w:t xml:space="preserve"> бытовое обслуживание (3.3), культурное развитие (3.6), общественное управление (3.8),</w:t>
            </w:r>
            <w:r w:rsidR="00BA3E75" w:rsidRPr="003502D0">
              <w:rPr>
                <w:sz w:val="24"/>
                <w:szCs w:val="24"/>
                <w:u w:val="single"/>
              </w:rPr>
              <w:t xml:space="preserve"> </w:t>
            </w:r>
            <w:r w:rsidR="00BA3E75">
              <w:rPr>
                <w:sz w:val="24"/>
                <w:szCs w:val="24"/>
                <w:u w:val="single"/>
              </w:rPr>
              <w:t xml:space="preserve">обеспечение научной деятельности (3.9), предпринимательство (4.0), деловое управление (4.1), магазины (4.4), банковская и страховая деятельность (4.5), общественное питание (4.6), гостиничное обслуживание (4.7), развлечения (4.8), выставочно-ярмарочная деятельность (4.10), спорт (5.1), связь (6.8), гидротехнические-сооружения (11.3), </w:t>
            </w:r>
            <w:r w:rsidR="00BA3E75" w:rsidRPr="003502D0">
              <w:rPr>
                <w:sz w:val="24"/>
                <w:szCs w:val="24"/>
                <w:u w:val="single"/>
              </w:rPr>
              <w:t>земельные участки (территории) общего пользования (12.0)</w:t>
            </w:r>
            <w:r w:rsidR="00BA3E75">
              <w:rPr>
                <w:sz w:val="24"/>
                <w:szCs w:val="24"/>
                <w:u w:val="single"/>
              </w:rPr>
              <w:t>.</w:t>
            </w:r>
          </w:p>
          <w:p w:rsidR="00BA3E75" w:rsidRPr="006A2586" w:rsidRDefault="00BA3E75" w:rsidP="00F13E3E">
            <w:pPr>
              <w:spacing w:after="0"/>
              <w:jc w:val="both"/>
              <w:rPr>
                <w:rStyle w:val="fontstyle01"/>
                <w:rFonts w:asciiTheme="minorHAnsi" w:hAnsiTheme="minorHAnsi"/>
                <w:color w:val="auto"/>
                <w:sz w:val="16"/>
                <w:szCs w:val="16"/>
              </w:rPr>
            </w:pPr>
            <w:r>
              <w:rPr>
                <w:rStyle w:val="fontstyle01"/>
                <w:rFonts w:asciiTheme="minorHAnsi" w:hAnsiTheme="minorHAnsi"/>
                <w:sz w:val="24"/>
                <w:szCs w:val="24"/>
              </w:rPr>
              <w:t>П</w:t>
            </w:r>
            <w:r w:rsidRPr="00FE234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редельное количество этажей </w:t>
            </w:r>
            <w:r w:rsidRPr="00E12EAE">
              <w:rPr>
                <w:rStyle w:val="fontstyle01"/>
                <w:rFonts w:asciiTheme="minorHAnsi" w:hAnsiTheme="minorHAnsi"/>
                <w:color w:val="auto"/>
                <w:sz w:val="24"/>
                <w:szCs w:val="24"/>
              </w:rPr>
              <w:t>- 16 этажей</w:t>
            </w:r>
            <w:r w:rsidRPr="00FE2347">
              <w:rPr>
                <w:rStyle w:val="fontstyle01"/>
                <w:rFonts w:asciiTheme="minorHAnsi" w:hAnsiTheme="minorHAnsi"/>
                <w:sz w:val="24"/>
                <w:szCs w:val="24"/>
              </w:rPr>
              <w:t>.</w:t>
            </w:r>
          </w:p>
          <w:p w:rsidR="0012242B" w:rsidRPr="00FE2347" w:rsidRDefault="00BA3E75" w:rsidP="00303643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E2347">
              <w:rPr>
                <w:bCs/>
                <w:sz w:val="24"/>
                <w:szCs w:val="24"/>
              </w:rPr>
              <w:t>Охранные и санитарно-защитные зоны обозначены на схеме застроенной территории, подлежащей развитию</w:t>
            </w:r>
            <w:r w:rsidR="00303643">
              <w:rPr>
                <w:bCs/>
                <w:sz w:val="24"/>
                <w:szCs w:val="24"/>
              </w:rPr>
              <w:t>.</w:t>
            </w:r>
          </w:p>
        </w:tc>
      </w:tr>
      <w:tr w:rsidR="00005724" w:rsidRPr="000B1947" w:rsidTr="00B87826">
        <w:trPr>
          <w:trHeight w:val="625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005724" w:rsidRPr="000B1947" w:rsidRDefault="00005724" w:rsidP="009A4B24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Размещение социальных </w:t>
            </w:r>
            <w:r w:rsidR="006816D3"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бъектов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93686E" w:rsidRPr="00F13E3E" w:rsidRDefault="0093686E" w:rsidP="00F13E3E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13E3E">
              <w:rPr>
                <w:bCs/>
                <w:sz w:val="24"/>
                <w:szCs w:val="24"/>
              </w:rPr>
              <w:t xml:space="preserve">Обеспеченность территории объектами коммунальной, транспортной, социальной инфраструктур и максимально допустимый уровень территориальной доступности указанных объектов для населения устанавливается в соответствии со ст. 37 Правил землепользования и застройки города Нижнего Новгорода, утвержденных приказом департамента градостроительной деятельности и развития агломераций </w:t>
            </w:r>
            <w:r w:rsidRPr="00F13E3E">
              <w:rPr>
                <w:bCs/>
                <w:sz w:val="24"/>
                <w:szCs w:val="24"/>
              </w:rPr>
              <w:lastRenderedPageBreak/>
              <w:t>Нижегородской области от 30.03.2018 № 07-01-06/22.</w:t>
            </w:r>
          </w:p>
          <w:p w:rsidR="0093686E" w:rsidRPr="00F13E3E" w:rsidRDefault="0093686E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3E3E">
              <w:rPr>
                <w:sz w:val="24"/>
                <w:szCs w:val="24"/>
              </w:rPr>
              <w:t>Комплексное развитие территории определяется документацией по планировке территории (проектом планировки территории и проектом межевания территории).</w:t>
            </w:r>
          </w:p>
          <w:p w:rsidR="00303903" w:rsidRPr="00F13E3E" w:rsidRDefault="0093686E" w:rsidP="00F13E3E">
            <w:pPr>
              <w:spacing w:after="0" w:line="240" w:lineRule="auto"/>
              <w:jc w:val="both"/>
              <w:rPr>
                <w:rStyle w:val="fontstyle01"/>
                <w:rFonts w:asciiTheme="minorHAnsi" w:hAnsiTheme="minorHAnsi"/>
                <w:bCs/>
                <w:color w:val="auto"/>
                <w:sz w:val="24"/>
                <w:szCs w:val="24"/>
              </w:rPr>
            </w:pPr>
            <w:r w:rsidRPr="00F13E3E">
              <w:rPr>
                <w:rFonts w:ascii="Calibri" w:hAnsi="Calibri" w:cs="Calibri"/>
                <w:iCs/>
                <w:sz w:val="24"/>
                <w:szCs w:val="24"/>
              </w:rPr>
              <w:t>Расчетные показатели 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 в границах территориальной зоны ТО-2 не установлены.</w:t>
            </w:r>
          </w:p>
        </w:tc>
      </w:tr>
      <w:tr w:rsidR="00005724" w:rsidRPr="000B1947" w:rsidTr="00B87826">
        <w:trPr>
          <w:trHeight w:val="686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005724" w:rsidRDefault="001F33EF" w:rsidP="00303903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**</w:t>
            </w:r>
            <w:r w:rsidR="00005724">
              <w:rPr>
                <w:bCs/>
                <w:sz w:val="24"/>
                <w:szCs w:val="24"/>
              </w:rPr>
              <w:t>Количество многоквартирных жилых домов</w:t>
            </w:r>
            <w:r w:rsidR="00B9359A">
              <w:rPr>
                <w:bCs/>
                <w:sz w:val="24"/>
                <w:szCs w:val="24"/>
              </w:rPr>
              <w:t>, расположенных</w:t>
            </w:r>
            <w:r w:rsidR="00005724">
              <w:rPr>
                <w:bCs/>
                <w:sz w:val="24"/>
                <w:szCs w:val="24"/>
              </w:rPr>
              <w:t xml:space="preserve"> на территории (общая площадь жилых помещений)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005724" w:rsidRPr="008109F8" w:rsidRDefault="005C4D4A" w:rsidP="00666350">
            <w:pPr>
              <w:spacing w:after="0" w:line="240" w:lineRule="auto"/>
              <w:ind w:firstLine="95"/>
              <w:jc w:val="both"/>
              <w:rPr>
                <w:sz w:val="24"/>
                <w:szCs w:val="24"/>
              </w:rPr>
            </w:pPr>
            <w:r w:rsidRPr="008109F8">
              <w:rPr>
                <w:sz w:val="24"/>
                <w:szCs w:val="24"/>
              </w:rPr>
              <w:t>9</w:t>
            </w:r>
            <w:r w:rsidR="00005724" w:rsidRPr="008109F8">
              <w:rPr>
                <w:sz w:val="24"/>
                <w:szCs w:val="24"/>
              </w:rPr>
              <w:t xml:space="preserve"> дом</w:t>
            </w:r>
            <w:r w:rsidR="00BB5C56" w:rsidRPr="008109F8">
              <w:rPr>
                <w:sz w:val="24"/>
                <w:szCs w:val="24"/>
              </w:rPr>
              <w:t>ов</w:t>
            </w:r>
            <w:r w:rsidR="00005724" w:rsidRPr="008109F8">
              <w:rPr>
                <w:sz w:val="24"/>
                <w:szCs w:val="24"/>
              </w:rPr>
              <w:t xml:space="preserve"> (</w:t>
            </w:r>
            <w:r w:rsidR="00A92FBA" w:rsidRPr="00B87826">
              <w:rPr>
                <w:sz w:val="24"/>
                <w:szCs w:val="24"/>
              </w:rPr>
              <w:t>4</w:t>
            </w:r>
            <w:r w:rsidR="00666350" w:rsidRPr="00B87826">
              <w:rPr>
                <w:sz w:val="24"/>
                <w:szCs w:val="24"/>
              </w:rPr>
              <w:t>490,4</w:t>
            </w:r>
            <w:r w:rsidR="008109F8" w:rsidRPr="00B87826">
              <w:rPr>
                <w:sz w:val="24"/>
                <w:szCs w:val="24"/>
              </w:rPr>
              <w:t>6</w:t>
            </w:r>
            <w:r w:rsidR="00005724" w:rsidRPr="008109F8">
              <w:rPr>
                <w:sz w:val="24"/>
                <w:szCs w:val="24"/>
              </w:rPr>
              <w:t xml:space="preserve"> кв.м.)</w:t>
            </w:r>
            <w:r w:rsidR="008109F8" w:rsidRPr="008109F8">
              <w:rPr>
                <w:sz w:val="24"/>
                <w:szCs w:val="24"/>
              </w:rPr>
              <w:t>,</w:t>
            </w:r>
            <w:r w:rsidR="00EA0937" w:rsidRPr="008109F8">
              <w:rPr>
                <w:sz w:val="24"/>
                <w:szCs w:val="24"/>
              </w:rPr>
              <w:t xml:space="preserve"> </w:t>
            </w:r>
            <w:r w:rsidR="00C71F0D" w:rsidRPr="008109F8">
              <w:rPr>
                <w:sz w:val="24"/>
                <w:szCs w:val="24"/>
              </w:rPr>
              <w:t xml:space="preserve">в том числе </w:t>
            </w:r>
            <w:r w:rsidR="00A92FBA" w:rsidRPr="008109F8">
              <w:rPr>
                <w:rFonts w:ascii="Calibri" w:eastAsia="Calibri" w:hAnsi="Calibri" w:cs="Times New Roman"/>
                <w:sz w:val="24"/>
                <w:szCs w:val="24"/>
              </w:rPr>
              <w:t>- 8 многоквартирных жилых домов, признанных аварийными и подлежащими сносу</w:t>
            </w:r>
            <w:r w:rsidR="00E12EA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: ул.Азовская, 14 – </w:t>
            </w:r>
            <w:r w:rsidR="008109F8" w:rsidRPr="008109F8">
              <w:rPr>
                <w:rFonts w:ascii="Calibri" w:eastAsia="Calibri" w:hAnsi="Calibri" w:cs="Times New Roman"/>
                <w:sz w:val="24"/>
                <w:szCs w:val="24"/>
              </w:rPr>
              <w:t>541,33</w:t>
            </w:r>
            <w:r w:rsidR="00BA4A2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12EAE" w:rsidRPr="008109F8">
              <w:rPr>
                <w:rFonts w:ascii="Calibri" w:eastAsia="Calibri" w:hAnsi="Calibri" w:cs="Times New Roman"/>
                <w:sz w:val="24"/>
                <w:szCs w:val="24"/>
              </w:rPr>
              <w:t>кв</w:t>
            </w:r>
            <w:r w:rsidR="008109F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  <w:r w:rsidR="00E12EA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м., ул.Азовская, 15 – </w:t>
            </w:r>
            <w:r w:rsidR="008109F8" w:rsidRPr="008109F8">
              <w:rPr>
                <w:rFonts w:ascii="Calibri" w:eastAsia="Calibri" w:hAnsi="Calibri" w:cs="Times New Roman"/>
                <w:sz w:val="24"/>
                <w:szCs w:val="24"/>
              </w:rPr>
              <w:t>599,39</w:t>
            </w:r>
            <w:r w:rsidR="00E12EA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 кв.м</w:t>
            </w:r>
            <w:r w:rsidR="00F86B37">
              <w:rPr>
                <w:rFonts w:ascii="Calibri" w:eastAsia="Calibri" w:hAnsi="Calibri" w:cs="Times New Roman"/>
                <w:sz w:val="24"/>
                <w:szCs w:val="24"/>
              </w:rPr>
              <w:t>. (185-ФЗ)</w:t>
            </w:r>
            <w:r w:rsidR="008109F8" w:rsidRPr="008109F8">
              <w:rPr>
                <w:rFonts w:ascii="Calibri" w:eastAsia="Calibri" w:hAnsi="Calibri" w:cs="Times New Roman"/>
                <w:sz w:val="24"/>
                <w:szCs w:val="24"/>
              </w:rPr>
              <w:t>,</w:t>
            </w:r>
            <w:r w:rsidR="00BA4A2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12EAE" w:rsidRPr="008109F8">
              <w:rPr>
                <w:rFonts w:ascii="Calibri" w:eastAsia="Calibri" w:hAnsi="Calibri" w:cs="Times New Roman"/>
                <w:sz w:val="24"/>
                <w:szCs w:val="24"/>
              </w:rPr>
              <w:t>ул.Азовская, 16 – 121,</w:t>
            </w:r>
            <w:r w:rsidR="00666350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E12EA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 кв.м</w:t>
            </w:r>
            <w:r w:rsidR="00F86B37">
              <w:rPr>
                <w:rFonts w:ascii="Calibri" w:eastAsia="Calibri" w:hAnsi="Calibri" w:cs="Times New Roman"/>
                <w:sz w:val="24"/>
                <w:szCs w:val="24"/>
              </w:rPr>
              <w:t>. (185-ФЗ)</w:t>
            </w:r>
            <w:r w:rsidR="00E12EA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, ул.Азовская, 17 – </w:t>
            </w:r>
            <w:r w:rsidR="00BA4A2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 579,8 </w:t>
            </w:r>
            <w:r w:rsidR="00E12EA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кв м., ул.Азовская, 18 – </w:t>
            </w:r>
            <w:r w:rsidR="008109F8" w:rsidRPr="008109F8">
              <w:rPr>
                <w:rFonts w:ascii="Calibri" w:eastAsia="Calibri" w:hAnsi="Calibri" w:cs="Times New Roman"/>
                <w:sz w:val="24"/>
                <w:szCs w:val="24"/>
              </w:rPr>
              <w:t>576,4</w:t>
            </w:r>
            <w:r w:rsidR="00BA4A2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8109F8" w:rsidRPr="008109F8">
              <w:rPr>
                <w:rFonts w:ascii="Calibri" w:eastAsia="Calibri" w:hAnsi="Calibri" w:cs="Times New Roman"/>
                <w:sz w:val="24"/>
                <w:szCs w:val="24"/>
              </w:rPr>
              <w:t>кв.</w:t>
            </w:r>
            <w:r w:rsidR="00E12EA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м, пр.Гагарина, 51 – </w:t>
            </w:r>
            <w:r w:rsidR="008109F8" w:rsidRPr="008109F8">
              <w:rPr>
                <w:rFonts w:ascii="Calibri" w:eastAsia="Calibri" w:hAnsi="Calibri" w:cs="Times New Roman"/>
                <w:sz w:val="24"/>
                <w:szCs w:val="24"/>
              </w:rPr>
              <w:t>586,0</w:t>
            </w:r>
            <w:r w:rsidR="00BA4A2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12EA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кв.м, пр.Гагарина, 55 – </w:t>
            </w:r>
            <w:r w:rsidR="008109F8" w:rsidRPr="008109F8">
              <w:rPr>
                <w:rFonts w:ascii="Calibri" w:eastAsia="Calibri" w:hAnsi="Calibri" w:cs="Times New Roman"/>
                <w:sz w:val="24"/>
                <w:szCs w:val="24"/>
              </w:rPr>
              <w:t>588,3</w:t>
            </w:r>
            <w:r w:rsidR="00BA4A2E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12EAE" w:rsidRPr="008109F8">
              <w:rPr>
                <w:rFonts w:ascii="Calibri" w:eastAsia="Calibri" w:hAnsi="Calibri" w:cs="Times New Roman"/>
                <w:sz w:val="24"/>
                <w:szCs w:val="24"/>
              </w:rPr>
              <w:t>кв.м, ул.Подгорная, 12 –</w:t>
            </w:r>
            <w:r w:rsidR="008109F8" w:rsidRPr="008109F8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BA4A2E" w:rsidRPr="008109F8">
              <w:rPr>
                <w:rFonts w:ascii="Calibri" w:eastAsia="Calibri" w:hAnsi="Calibri" w:cs="Times New Roman"/>
                <w:sz w:val="24"/>
                <w:szCs w:val="24"/>
              </w:rPr>
              <w:t>424,8 кв.м.</w:t>
            </w:r>
          </w:p>
        </w:tc>
      </w:tr>
      <w:tr w:rsidR="00005724" w:rsidRPr="000B1947" w:rsidTr="00B87826">
        <w:trPr>
          <w:trHeight w:val="625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005724" w:rsidRPr="000B1947" w:rsidRDefault="001F33EF" w:rsidP="00142B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**</w:t>
            </w:r>
            <w:r w:rsidR="00005724" w:rsidRPr="000B1947">
              <w:rPr>
                <w:bCs/>
                <w:sz w:val="24"/>
                <w:szCs w:val="24"/>
              </w:rPr>
              <w:t>Количество жилых помещений в многоквартирных домах</w:t>
            </w:r>
            <w:r w:rsidR="0030249E">
              <w:rPr>
                <w:bCs/>
                <w:sz w:val="24"/>
                <w:szCs w:val="24"/>
              </w:rPr>
              <w:t xml:space="preserve"> (</w:t>
            </w:r>
            <w:r w:rsidR="0030249E">
              <w:rPr>
                <w:sz w:val="24"/>
                <w:szCs w:val="24"/>
              </w:rPr>
              <w:t xml:space="preserve">за исключением ул.Азовская, 15, 16), </w:t>
            </w:r>
            <w:r w:rsidR="00005724" w:rsidRPr="000B1947">
              <w:rPr>
                <w:bCs/>
                <w:sz w:val="24"/>
                <w:szCs w:val="24"/>
              </w:rPr>
              <w:t>в том числе:</w:t>
            </w:r>
            <w:r w:rsidR="00005724" w:rsidRPr="000B1947">
              <w:rPr>
                <w:sz w:val="24"/>
                <w:szCs w:val="24"/>
              </w:rPr>
              <w:t xml:space="preserve"> </w:t>
            </w:r>
          </w:p>
          <w:p w:rsidR="00005724" w:rsidRPr="000B1947" w:rsidRDefault="00005724" w:rsidP="00142B9D">
            <w:pPr>
              <w:spacing w:after="0" w:line="240" w:lineRule="auto"/>
              <w:rPr>
                <w:sz w:val="24"/>
                <w:szCs w:val="24"/>
              </w:rPr>
            </w:pPr>
            <w:r w:rsidRPr="000B1947">
              <w:rPr>
                <w:bCs/>
                <w:sz w:val="24"/>
                <w:szCs w:val="24"/>
              </w:rPr>
              <w:t>- муниципальные (общая площадь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кв.м.</w:t>
            </w:r>
            <w:r w:rsidRPr="000B1947">
              <w:rPr>
                <w:bCs/>
                <w:sz w:val="24"/>
                <w:szCs w:val="24"/>
              </w:rPr>
              <w:t>)</w:t>
            </w:r>
            <w:r w:rsidRPr="000B1947">
              <w:rPr>
                <w:sz w:val="24"/>
                <w:szCs w:val="24"/>
              </w:rPr>
              <w:t xml:space="preserve"> </w:t>
            </w:r>
          </w:p>
          <w:p w:rsidR="00005724" w:rsidRPr="000B1947" w:rsidRDefault="00005724" w:rsidP="00142B9D">
            <w:pPr>
              <w:spacing w:after="0" w:line="240" w:lineRule="auto"/>
              <w:rPr>
                <w:sz w:val="24"/>
                <w:szCs w:val="24"/>
              </w:rPr>
            </w:pPr>
            <w:r w:rsidRPr="000B1947">
              <w:rPr>
                <w:bCs/>
                <w:sz w:val="24"/>
                <w:szCs w:val="24"/>
              </w:rPr>
              <w:t>- приватизированные (общая площадь</w:t>
            </w:r>
            <w:r>
              <w:rPr>
                <w:b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кв.м.</w:t>
            </w:r>
            <w:r w:rsidRPr="000B1947">
              <w:rPr>
                <w:bCs/>
                <w:sz w:val="24"/>
                <w:szCs w:val="24"/>
              </w:rPr>
              <w:t>)</w:t>
            </w:r>
            <w:r w:rsidRPr="000B194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005724" w:rsidRPr="008109F8" w:rsidRDefault="0030249E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  <w:p w:rsidR="00005724" w:rsidRDefault="00005724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0249E" w:rsidRPr="008109F8" w:rsidRDefault="0030249E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05724" w:rsidRPr="008109F8" w:rsidRDefault="0030249E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8109F8" w:rsidRPr="008109F8">
              <w:rPr>
                <w:sz w:val="24"/>
                <w:szCs w:val="24"/>
              </w:rPr>
              <w:t xml:space="preserve"> </w:t>
            </w:r>
            <w:r w:rsidR="00005724" w:rsidRPr="008109F8">
              <w:rPr>
                <w:sz w:val="24"/>
                <w:szCs w:val="24"/>
              </w:rPr>
              <w:t>(</w:t>
            </w:r>
            <w:r w:rsidR="008109F8" w:rsidRPr="008109F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077,18</w:t>
            </w:r>
            <w:r w:rsidR="00005724" w:rsidRPr="008109F8">
              <w:rPr>
                <w:sz w:val="24"/>
                <w:szCs w:val="24"/>
              </w:rPr>
              <w:t>)</w:t>
            </w:r>
            <w:r w:rsidR="004D6FB7">
              <w:rPr>
                <w:sz w:val="24"/>
                <w:szCs w:val="24"/>
              </w:rPr>
              <w:t>,</w:t>
            </w:r>
            <w:r w:rsidR="004D6FB7" w:rsidRPr="008109F8">
              <w:rPr>
                <w:sz w:val="24"/>
                <w:szCs w:val="24"/>
              </w:rPr>
              <w:t xml:space="preserve"> из них </w:t>
            </w:r>
            <w:r>
              <w:rPr>
                <w:sz w:val="24"/>
                <w:szCs w:val="24"/>
              </w:rPr>
              <w:t>11</w:t>
            </w:r>
            <w:r w:rsidR="004D6FB7" w:rsidRPr="008109F8">
              <w:rPr>
                <w:sz w:val="24"/>
                <w:szCs w:val="24"/>
              </w:rPr>
              <w:t xml:space="preserve"> свободны</w:t>
            </w:r>
            <w:r w:rsidR="004D6FB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293,34</w:t>
            </w:r>
            <w:r w:rsidR="004D6FB7">
              <w:rPr>
                <w:sz w:val="24"/>
                <w:szCs w:val="24"/>
              </w:rPr>
              <w:t>)</w:t>
            </w:r>
          </w:p>
          <w:p w:rsidR="00005724" w:rsidRPr="008109F8" w:rsidRDefault="0030249E" w:rsidP="0030249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="00A92FBA" w:rsidRPr="008109F8">
              <w:rPr>
                <w:sz w:val="24"/>
                <w:szCs w:val="24"/>
              </w:rPr>
              <w:t xml:space="preserve"> (</w:t>
            </w:r>
            <w:r w:rsidR="008109F8" w:rsidRPr="008109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692,69</w:t>
            </w:r>
            <w:r w:rsidR="00A92FBA" w:rsidRPr="008109F8">
              <w:rPr>
                <w:sz w:val="24"/>
                <w:szCs w:val="24"/>
              </w:rPr>
              <w:t>)</w:t>
            </w:r>
          </w:p>
        </w:tc>
      </w:tr>
      <w:tr w:rsidR="00005724" w:rsidRPr="000B1947" w:rsidTr="00B87826">
        <w:trPr>
          <w:trHeight w:val="625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005724" w:rsidRPr="000B1947" w:rsidRDefault="00005724" w:rsidP="00142B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индивидуальных жилых домов (общая площадь, кв.м.)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005724" w:rsidRDefault="00F13E3E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005724" w:rsidRPr="000B1947" w:rsidTr="00B87826">
        <w:trPr>
          <w:trHeight w:val="625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005724" w:rsidRDefault="00494E19" w:rsidP="00142B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прочих объектов капитального строительства (характеристика, общая площадь, кв.м., информация о правообладателях</w:t>
            </w:r>
            <w:r w:rsidR="00E12EA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484A79" w:rsidRPr="00DC33FC" w:rsidRDefault="00F13E3E" w:rsidP="00F13E3E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8E3A03" w:rsidRPr="000B1947" w:rsidTr="00B87826">
        <w:trPr>
          <w:trHeight w:val="370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E3A03" w:rsidRDefault="008E3A03" w:rsidP="00142B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зеленых насаждений (шт.)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E3A03" w:rsidRPr="00CE117B" w:rsidRDefault="00F13E3E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Информация отсутствует</w:t>
            </w:r>
          </w:p>
        </w:tc>
      </w:tr>
      <w:tr w:rsidR="008E3A03" w:rsidRPr="000B1947" w:rsidTr="00B87826">
        <w:trPr>
          <w:trHeight w:val="625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E3A03" w:rsidRDefault="008E3A03" w:rsidP="00142B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Расчет компенсационной стоимости </w:t>
            </w:r>
            <w:r w:rsidR="00B9359A">
              <w:rPr>
                <w:bCs/>
                <w:sz w:val="24"/>
                <w:szCs w:val="24"/>
              </w:rPr>
              <w:t xml:space="preserve">за снос </w:t>
            </w:r>
            <w:r>
              <w:rPr>
                <w:bCs/>
                <w:sz w:val="24"/>
                <w:szCs w:val="24"/>
              </w:rPr>
              <w:t>зеленых насаждений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E3A03" w:rsidRDefault="008E3A03" w:rsidP="00F13E3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8E3A03" w:rsidRPr="000B1947" w:rsidTr="00B87826">
        <w:trPr>
          <w:trHeight w:val="625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E3A03" w:rsidRDefault="008E3A03" w:rsidP="00142B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Процент застройки 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4F3919" w:rsidRPr="00F86B37" w:rsidRDefault="004F3919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6B37">
              <w:rPr>
                <w:sz w:val="24"/>
                <w:szCs w:val="24"/>
              </w:rPr>
              <w:t>Подготовка документации по планировке территории осуществляется в соответствии с градостроительными регламентами территориальной зоны ТО-2:</w:t>
            </w:r>
          </w:p>
          <w:p w:rsidR="004F3919" w:rsidRPr="00F86B37" w:rsidRDefault="004F3919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6B37">
              <w:rPr>
                <w:sz w:val="24"/>
                <w:szCs w:val="24"/>
              </w:rPr>
              <w:t>Для видов разрешенного использования земельных участков: общественное использование объектов капитального строительства (3.0), коммунальное обслуживание (3.1), социальное обслуживание (3.2), бытовое обслуживание (3.3), обеспечение научной деятельности (3.9), предпринимательство (4.0), деловое управление (4.1), магазины (4.4), банковская и страховая деятельность (4.5), гостиничное обслуживание (4.7), развлечения (4.8), связь (6.8) – 80</w:t>
            </w:r>
            <w:r w:rsidR="00B9359A" w:rsidRPr="00F86B37">
              <w:rPr>
                <w:sz w:val="24"/>
                <w:szCs w:val="24"/>
              </w:rPr>
              <w:t>%</w:t>
            </w:r>
            <w:r w:rsidRPr="00F86B37">
              <w:rPr>
                <w:sz w:val="24"/>
                <w:szCs w:val="24"/>
              </w:rPr>
              <w:t>;</w:t>
            </w:r>
          </w:p>
          <w:p w:rsidR="004F3919" w:rsidRPr="00F86B37" w:rsidRDefault="004F3919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6B37">
              <w:rPr>
                <w:sz w:val="24"/>
                <w:szCs w:val="24"/>
              </w:rPr>
              <w:t xml:space="preserve">Для видов разрешенного использования земельных участков: обслуживание </w:t>
            </w:r>
            <w:r w:rsidRPr="00F86B37">
              <w:rPr>
                <w:sz w:val="24"/>
                <w:szCs w:val="24"/>
              </w:rPr>
              <w:lastRenderedPageBreak/>
              <w:t xml:space="preserve">автотранспорта (4.9), культурное развитие (3.6), общественное управление (3.8), общественное питание (4.6), выставочно-ярмарочная деятельность (4.10), спорт (5.1) </w:t>
            </w:r>
            <w:r w:rsidR="00B9359A" w:rsidRPr="00F86B37">
              <w:rPr>
                <w:sz w:val="24"/>
                <w:szCs w:val="24"/>
              </w:rPr>
              <w:t>–</w:t>
            </w:r>
            <w:r w:rsidRPr="00F86B37">
              <w:rPr>
                <w:sz w:val="24"/>
                <w:szCs w:val="24"/>
              </w:rPr>
              <w:t xml:space="preserve"> 100</w:t>
            </w:r>
            <w:r w:rsidR="00B9359A" w:rsidRPr="00F86B37">
              <w:rPr>
                <w:sz w:val="24"/>
                <w:szCs w:val="24"/>
              </w:rPr>
              <w:t>%</w:t>
            </w:r>
            <w:r w:rsidRPr="00F86B37">
              <w:rPr>
                <w:sz w:val="24"/>
                <w:szCs w:val="24"/>
              </w:rPr>
              <w:t>;</w:t>
            </w:r>
          </w:p>
          <w:p w:rsidR="008E3A03" w:rsidRPr="00F86B37" w:rsidRDefault="004F3919" w:rsidP="00F13E3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F86B37">
              <w:rPr>
                <w:rFonts w:ascii="Calibri" w:hAnsi="Calibri" w:cs="Calibri"/>
                <w:iCs/>
                <w:sz w:val="24"/>
                <w:szCs w:val="24"/>
              </w:rPr>
              <w:t>Для вида разрешенного использования земельных участков «гидротехнические сооружения» (11.3), «земельные участки (территории) общего пользования» (12.0) максимальный процент застройки не подлежит установлению.</w:t>
            </w:r>
          </w:p>
        </w:tc>
      </w:tr>
      <w:tr w:rsidR="008E3A03" w:rsidRPr="000B1947" w:rsidTr="00B87826">
        <w:trPr>
          <w:trHeight w:val="625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E3A03" w:rsidRDefault="008E3A03" w:rsidP="00142B9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B1947">
              <w:rPr>
                <w:bCs/>
                <w:sz w:val="24"/>
                <w:szCs w:val="24"/>
              </w:rPr>
              <w:lastRenderedPageBreak/>
              <w:t xml:space="preserve">Предполагаемый </w:t>
            </w:r>
            <w:r w:rsidR="00B9359A">
              <w:rPr>
                <w:bCs/>
                <w:sz w:val="24"/>
                <w:szCs w:val="24"/>
              </w:rPr>
              <w:t xml:space="preserve">максимальный </w:t>
            </w:r>
            <w:r w:rsidRPr="000B1947">
              <w:rPr>
                <w:bCs/>
                <w:sz w:val="24"/>
                <w:szCs w:val="24"/>
              </w:rPr>
              <w:t>объем нового строительства на данной  территории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E3A03" w:rsidRDefault="005C4D4A" w:rsidP="00F13E3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</w:rPr>
            </w:pPr>
            <w:r w:rsidRPr="00112D86">
              <w:rPr>
                <w:sz w:val="21"/>
                <w:szCs w:val="21"/>
              </w:rPr>
              <w:t>87 039</w:t>
            </w:r>
            <w:r w:rsidR="00A8592F">
              <w:rPr>
                <w:sz w:val="21"/>
                <w:szCs w:val="21"/>
              </w:rPr>
              <w:t xml:space="preserve"> </w:t>
            </w:r>
            <w:r w:rsidR="00FD3D69">
              <w:rPr>
                <w:rStyle w:val="fontstyle01"/>
                <w:sz w:val="24"/>
                <w:szCs w:val="24"/>
              </w:rPr>
              <w:t>кв.м.</w:t>
            </w:r>
            <w:r w:rsidR="004E1630">
              <w:rPr>
                <w:rStyle w:val="fontstyle01"/>
                <w:sz w:val="24"/>
                <w:szCs w:val="24"/>
              </w:rPr>
              <w:t xml:space="preserve"> </w:t>
            </w:r>
            <w:r w:rsidR="002F6CDF" w:rsidRPr="00124466">
              <w:rPr>
                <w:rFonts w:ascii="Calibri" w:hAnsi="Calibri"/>
                <w:color w:val="000000"/>
                <w:sz w:val="24"/>
                <w:szCs w:val="24"/>
              </w:rPr>
              <w:t>(в соответствии с "СП 42.13330.2016. Свод правил. Градостроительство. Планировка и застройка городских и сельских поселений. Актуализированная редакция СНиП 2.07.01-89*")</w:t>
            </w:r>
            <w:r w:rsidR="002F6CDF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</w:tc>
      </w:tr>
      <w:tr w:rsidR="008E3A03" w:rsidRPr="000B1947" w:rsidTr="00B87826">
        <w:trPr>
          <w:trHeight w:val="625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E3A03" w:rsidRPr="000B1947" w:rsidRDefault="00B9359A" w:rsidP="00142B9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</w:t>
            </w:r>
            <w:r w:rsidR="00BE30D4">
              <w:rPr>
                <w:bCs/>
                <w:sz w:val="24"/>
                <w:szCs w:val="24"/>
              </w:rPr>
              <w:t>ормация об инженерной подготовке</w:t>
            </w:r>
            <w:r>
              <w:rPr>
                <w:bCs/>
                <w:sz w:val="24"/>
                <w:szCs w:val="24"/>
              </w:rPr>
              <w:t xml:space="preserve"> территории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E3A03" w:rsidRPr="00CE117B" w:rsidRDefault="008E3A03" w:rsidP="00F13E3E">
            <w:pPr>
              <w:spacing w:after="0" w:line="240" w:lineRule="auto"/>
              <w:jc w:val="both"/>
              <w:rPr>
                <w:rFonts w:ascii="Calibri" w:hAnsi="Calibri"/>
                <w:spacing w:val="-8"/>
                <w:sz w:val="24"/>
                <w:szCs w:val="24"/>
              </w:rPr>
            </w:pPr>
            <w:r w:rsidRPr="00CE117B">
              <w:rPr>
                <w:sz w:val="24"/>
                <w:szCs w:val="24"/>
              </w:rPr>
              <w:t xml:space="preserve">Точки подключения к инженерным сетям определены на схеме </w:t>
            </w:r>
            <w:r w:rsidRPr="00CE117B">
              <w:rPr>
                <w:rFonts w:ascii="Calibri" w:hAnsi="Calibri"/>
                <w:spacing w:val="-8"/>
                <w:sz w:val="24"/>
                <w:szCs w:val="24"/>
              </w:rPr>
              <w:t>перспективных трасс инженерных коммуникаций</w:t>
            </w:r>
            <w:r w:rsidR="00AE2191">
              <w:rPr>
                <w:rFonts w:ascii="Calibri" w:hAnsi="Calibri"/>
                <w:spacing w:val="-8"/>
                <w:sz w:val="24"/>
                <w:szCs w:val="24"/>
              </w:rPr>
              <w:t>.</w:t>
            </w:r>
          </w:p>
          <w:p w:rsidR="00CE117B" w:rsidRPr="00CE117B" w:rsidRDefault="00CE117B" w:rsidP="00F13E3E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CE117B">
              <w:rPr>
                <w:rStyle w:val="fontstyle01"/>
                <w:sz w:val="24"/>
                <w:szCs w:val="24"/>
              </w:rPr>
              <w:t xml:space="preserve">Предполагаемая протяженность </w:t>
            </w:r>
            <w:r>
              <w:rPr>
                <w:rStyle w:val="fontstyle01"/>
                <w:sz w:val="24"/>
                <w:szCs w:val="24"/>
              </w:rPr>
              <w:t xml:space="preserve">для технологического присоединения </w:t>
            </w:r>
            <w:r w:rsidRPr="00CE117B">
              <w:rPr>
                <w:rStyle w:val="fontstyle01"/>
                <w:sz w:val="24"/>
                <w:szCs w:val="24"/>
              </w:rPr>
              <w:t>к существующим сетям:</w:t>
            </w:r>
          </w:p>
          <w:p w:rsidR="00CE117B" w:rsidRPr="00CE117B" w:rsidRDefault="00CE117B" w:rsidP="00F13E3E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CE117B">
              <w:rPr>
                <w:rStyle w:val="fontstyle01"/>
                <w:sz w:val="24"/>
                <w:szCs w:val="24"/>
              </w:rPr>
              <w:t xml:space="preserve">- водонабжения – </w:t>
            </w:r>
            <w:r w:rsidR="000F0BA3">
              <w:rPr>
                <w:rStyle w:val="fontstyle01"/>
                <w:sz w:val="24"/>
                <w:szCs w:val="24"/>
              </w:rPr>
              <w:t>10</w:t>
            </w:r>
            <w:r w:rsidRPr="00CE117B">
              <w:rPr>
                <w:rStyle w:val="fontstyle01"/>
                <w:sz w:val="24"/>
                <w:szCs w:val="24"/>
              </w:rPr>
              <w:t xml:space="preserve"> м,</w:t>
            </w:r>
          </w:p>
          <w:p w:rsidR="00CE117B" w:rsidRPr="00CE117B" w:rsidRDefault="00CE117B" w:rsidP="00F13E3E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CE117B">
              <w:rPr>
                <w:rStyle w:val="fontstyle01"/>
                <w:sz w:val="24"/>
                <w:szCs w:val="24"/>
              </w:rPr>
              <w:t xml:space="preserve">- канализации – </w:t>
            </w:r>
            <w:r w:rsidR="000F0BA3">
              <w:rPr>
                <w:rStyle w:val="fontstyle01"/>
                <w:sz w:val="24"/>
                <w:szCs w:val="24"/>
              </w:rPr>
              <w:t>55</w:t>
            </w:r>
            <w:r w:rsidRPr="00CE117B">
              <w:rPr>
                <w:rStyle w:val="fontstyle01"/>
                <w:sz w:val="24"/>
                <w:szCs w:val="24"/>
              </w:rPr>
              <w:t xml:space="preserve"> м,</w:t>
            </w:r>
          </w:p>
          <w:p w:rsidR="00CE117B" w:rsidRPr="00CE117B" w:rsidRDefault="00CE117B" w:rsidP="0030249E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CE117B">
              <w:rPr>
                <w:rStyle w:val="fontstyle01"/>
                <w:sz w:val="24"/>
                <w:szCs w:val="24"/>
              </w:rPr>
              <w:t xml:space="preserve">- </w:t>
            </w:r>
            <w:r w:rsidR="000F0BA3">
              <w:rPr>
                <w:rStyle w:val="fontstyle01"/>
                <w:sz w:val="24"/>
                <w:szCs w:val="24"/>
              </w:rPr>
              <w:t>ливневая</w:t>
            </w:r>
            <w:r w:rsidRPr="00CE117B">
              <w:rPr>
                <w:rStyle w:val="fontstyle01"/>
                <w:sz w:val="24"/>
                <w:szCs w:val="24"/>
              </w:rPr>
              <w:t xml:space="preserve"> канализации – </w:t>
            </w:r>
            <w:r w:rsidR="000F0BA3">
              <w:rPr>
                <w:rStyle w:val="fontstyle01"/>
                <w:sz w:val="24"/>
                <w:szCs w:val="24"/>
              </w:rPr>
              <w:t>30</w:t>
            </w:r>
            <w:r w:rsidRPr="00CE117B">
              <w:rPr>
                <w:rStyle w:val="fontstyle01"/>
                <w:sz w:val="24"/>
                <w:szCs w:val="24"/>
              </w:rPr>
              <w:t xml:space="preserve"> м</w:t>
            </w:r>
            <w:r>
              <w:rPr>
                <w:rStyle w:val="fontstyle01"/>
                <w:sz w:val="24"/>
                <w:szCs w:val="24"/>
              </w:rPr>
              <w:t>.</w:t>
            </w:r>
          </w:p>
        </w:tc>
      </w:tr>
      <w:tr w:rsidR="00DE72F2" w:rsidRPr="000B1947" w:rsidTr="00B87826">
        <w:trPr>
          <w:trHeight w:val="648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DE72F2" w:rsidRPr="000B1947" w:rsidRDefault="00DE72F2" w:rsidP="00CE117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DE72F2" w:rsidRDefault="00DE72F2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от д.№15 до д.№18 по ул.Азовская</w:t>
            </w:r>
          </w:p>
          <w:p w:rsidR="00DE72F2" w:rsidRDefault="00DE72F2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Проезд от проспекта Гагарина до д.№12 по ул.Подгорная</w:t>
            </w:r>
          </w:p>
        </w:tc>
      </w:tr>
      <w:tr w:rsidR="008E3A03" w:rsidRPr="000B1947" w:rsidTr="00B87826">
        <w:trPr>
          <w:trHeight w:val="974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E3A03" w:rsidRPr="000B1947" w:rsidRDefault="008E3A03" w:rsidP="00CE117B">
            <w:pPr>
              <w:spacing w:after="0" w:line="240" w:lineRule="auto"/>
              <w:rPr>
                <w:sz w:val="24"/>
                <w:szCs w:val="24"/>
              </w:rPr>
            </w:pPr>
            <w:r w:rsidRPr="000B1947">
              <w:rPr>
                <w:bCs/>
                <w:sz w:val="24"/>
                <w:szCs w:val="24"/>
              </w:rPr>
              <w:t>Обременение прав на земельные участки, находящиеся в муниципальной собственности, и ограничения их использования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E3A03" w:rsidRPr="00CA20DC" w:rsidRDefault="00156A6A" w:rsidP="00F13E3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 </w:t>
            </w:r>
          </w:p>
        </w:tc>
      </w:tr>
      <w:tr w:rsidR="00156A6A" w:rsidRPr="000B1947" w:rsidTr="00B87826">
        <w:trPr>
          <w:trHeight w:val="895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156A6A" w:rsidRPr="000B1947" w:rsidRDefault="00156A6A" w:rsidP="00CE117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B1947">
              <w:rPr>
                <w:bCs/>
                <w:sz w:val="24"/>
                <w:szCs w:val="24"/>
              </w:rPr>
              <w:t xml:space="preserve">обременения прав на </w:t>
            </w:r>
            <w:r>
              <w:rPr>
                <w:bCs/>
                <w:sz w:val="24"/>
                <w:szCs w:val="24"/>
              </w:rPr>
              <w:t xml:space="preserve">объекты недвижимого имущества, </w:t>
            </w:r>
            <w:r w:rsidRPr="000B1947">
              <w:rPr>
                <w:bCs/>
                <w:sz w:val="24"/>
                <w:szCs w:val="24"/>
              </w:rPr>
              <w:t>находящиеся в муниципальной собственности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156A6A" w:rsidRPr="00CA20DC" w:rsidRDefault="00156A6A" w:rsidP="00000E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Отсутствуют </w:t>
            </w:r>
          </w:p>
        </w:tc>
      </w:tr>
      <w:tr w:rsidR="00156A6A" w:rsidRPr="000B1947" w:rsidTr="00B87826">
        <w:trPr>
          <w:trHeight w:val="895"/>
        </w:trPr>
        <w:tc>
          <w:tcPr>
            <w:tcW w:w="57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156A6A" w:rsidRPr="00DB5A29" w:rsidRDefault="00156A6A" w:rsidP="00CE117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B5A29">
              <w:rPr>
                <w:bCs/>
                <w:sz w:val="24"/>
                <w:szCs w:val="24"/>
              </w:rPr>
              <w:t>Участие администрации</w:t>
            </w:r>
          </w:p>
        </w:tc>
        <w:tc>
          <w:tcPr>
            <w:tcW w:w="92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5679B5" w:rsidRPr="00DB5A29" w:rsidRDefault="00156A6A" w:rsidP="008109F8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B5A29">
              <w:rPr>
                <w:bCs/>
                <w:sz w:val="24"/>
                <w:szCs w:val="24"/>
              </w:rPr>
              <w:t xml:space="preserve">Расселение </w:t>
            </w:r>
            <w:r w:rsidR="005679B5" w:rsidRPr="00DB5A29">
              <w:rPr>
                <w:sz w:val="24"/>
                <w:szCs w:val="24"/>
              </w:rPr>
              <w:t>в рамках региональной программы (185-ФЗ)</w:t>
            </w:r>
            <w:r w:rsidRPr="00DB5A29">
              <w:rPr>
                <w:bCs/>
                <w:sz w:val="24"/>
                <w:szCs w:val="24"/>
              </w:rPr>
              <w:t xml:space="preserve">: </w:t>
            </w:r>
          </w:p>
          <w:p w:rsidR="005679B5" w:rsidRPr="00DB5A29" w:rsidRDefault="00156A6A" w:rsidP="008109F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B5A29">
              <w:rPr>
                <w:rFonts w:ascii="Calibri" w:eastAsia="Calibri" w:hAnsi="Calibri" w:cs="Times New Roman"/>
                <w:sz w:val="24"/>
                <w:szCs w:val="24"/>
              </w:rPr>
              <w:t xml:space="preserve">ул.Азовская, 15 – </w:t>
            </w:r>
            <w:r w:rsidR="008109F8" w:rsidRPr="00DB5A29">
              <w:rPr>
                <w:rFonts w:ascii="Calibri" w:eastAsia="Calibri" w:hAnsi="Calibri" w:cs="Times New Roman"/>
                <w:sz w:val="24"/>
                <w:szCs w:val="24"/>
              </w:rPr>
              <w:t>599,39</w:t>
            </w:r>
            <w:r w:rsidRPr="00DB5A29">
              <w:rPr>
                <w:rFonts w:ascii="Calibri" w:eastAsia="Calibri" w:hAnsi="Calibri" w:cs="Times New Roman"/>
                <w:sz w:val="24"/>
                <w:szCs w:val="24"/>
              </w:rPr>
              <w:t xml:space="preserve"> кв.м, </w:t>
            </w:r>
            <w:r w:rsidR="005679B5" w:rsidRPr="00DB5A29">
              <w:rPr>
                <w:rFonts w:ascii="Calibri" w:eastAsia="Calibri" w:hAnsi="Calibri" w:cs="Times New Roman"/>
                <w:sz w:val="24"/>
                <w:szCs w:val="24"/>
              </w:rPr>
              <w:t>срок до 31.12.2024;</w:t>
            </w:r>
          </w:p>
          <w:p w:rsidR="00156A6A" w:rsidRPr="00303643" w:rsidRDefault="00156A6A" w:rsidP="00121056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DB5A29">
              <w:rPr>
                <w:rFonts w:ascii="Calibri" w:eastAsia="Calibri" w:hAnsi="Calibri" w:cs="Times New Roman"/>
                <w:sz w:val="24"/>
                <w:szCs w:val="24"/>
              </w:rPr>
              <w:t>ул.Азовская, 16</w:t>
            </w:r>
            <w:r w:rsidR="008109F8" w:rsidRPr="00DB5A29">
              <w:rPr>
                <w:rFonts w:ascii="Calibri" w:eastAsia="Calibri" w:hAnsi="Calibri" w:cs="Times New Roman"/>
                <w:sz w:val="24"/>
                <w:szCs w:val="24"/>
              </w:rPr>
              <w:t xml:space="preserve"> – 121,</w:t>
            </w:r>
            <w:r w:rsidR="00666350" w:rsidRPr="00DB5A29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  <w:r w:rsidR="008109F8" w:rsidRPr="00DB5A29">
              <w:rPr>
                <w:rFonts w:ascii="Calibri" w:eastAsia="Calibri" w:hAnsi="Calibri" w:cs="Times New Roman"/>
                <w:sz w:val="24"/>
                <w:szCs w:val="24"/>
              </w:rPr>
              <w:t xml:space="preserve"> кв.м.</w:t>
            </w:r>
            <w:r w:rsidR="005679B5" w:rsidRPr="00DB5A29">
              <w:rPr>
                <w:rFonts w:ascii="Calibri" w:eastAsia="Calibri" w:hAnsi="Calibri" w:cs="Times New Roman"/>
                <w:sz w:val="24"/>
                <w:szCs w:val="24"/>
              </w:rPr>
              <w:t>, срок до 31.12.2019.</w:t>
            </w:r>
            <w:r w:rsidR="00B87826" w:rsidRPr="00DB5A29">
              <w:rPr>
                <w:rFonts w:ascii="Calibri" w:eastAsia="Calibri" w:hAnsi="Calibri" w:cs="Times New Roman"/>
                <w:sz w:val="24"/>
                <w:szCs w:val="24"/>
              </w:rPr>
              <w:t xml:space="preserve"> На </w:t>
            </w:r>
            <w:r w:rsidR="00121056" w:rsidRPr="00DB5A29">
              <w:rPr>
                <w:rFonts w:ascii="Calibri" w:eastAsia="Calibri" w:hAnsi="Calibri" w:cs="Times New Roman"/>
                <w:sz w:val="24"/>
                <w:szCs w:val="24"/>
              </w:rPr>
              <w:t>28.11</w:t>
            </w:r>
            <w:r w:rsidR="00B87826" w:rsidRPr="00DB5A29">
              <w:rPr>
                <w:rFonts w:ascii="Calibri" w:eastAsia="Calibri" w:hAnsi="Calibri" w:cs="Times New Roman"/>
                <w:sz w:val="24"/>
                <w:szCs w:val="24"/>
              </w:rPr>
              <w:t>.2019 не расселено 1 жилое помещение по причине вступления в наследство (ориентировочно март 2020).</w:t>
            </w:r>
          </w:p>
        </w:tc>
      </w:tr>
    </w:tbl>
    <w:p w:rsidR="00226D56" w:rsidRDefault="00226D56" w:rsidP="00226D5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B6FBC">
        <w:rPr>
          <w:b/>
          <w:bCs/>
          <w:sz w:val="24"/>
          <w:szCs w:val="24"/>
        </w:rPr>
        <w:t>*</w:t>
      </w:r>
      <w:r>
        <w:rPr>
          <w:b/>
          <w:bCs/>
          <w:sz w:val="24"/>
          <w:szCs w:val="24"/>
        </w:rPr>
        <w:t xml:space="preserve"> </w:t>
      </w:r>
      <w:r w:rsidRPr="006B6FBC">
        <w:rPr>
          <w:bCs/>
          <w:sz w:val="24"/>
          <w:szCs w:val="24"/>
        </w:rPr>
        <w:t>(</w:t>
      </w:r>
      <w:r w:rsidRPr="00EA7958">
        <w:rPr>
          <w:sz w:val="24"/>
          <w:szCs w:val="24"/>
        </w:rPr>
        <w:t>3.0</w:t>
      </w:r>
      <w:r w:rsidRPr="006B6FBC">
        <w:rPr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- </w:t>
      </w:r>
      <w:r>
        <w:rPr>
          <w:rFonts w:ascii="Calibri" w:hAnsi="Calibri" w:cs="Calibri"/>
          <w:sz w:val="24"/>
          <w:szCs w:val="24"/>
        </w:rPr>
        <w:t xml:space="preserve">код (числовое обозначение) вида разрешенного использования земельного участка в соответствии с классификатором видов </w:t>
      </w:r>
    </w:p>
    <w:p w:rsidR="00226D56" w:rsidRPr="006B6FBC" w:rsidRDefault="00226D56" w:rsidP="00226D56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разрешенного использования земельных участков, утвержденным приказом </w:t>
      </w:r>
      <w:r w:rsidRPr="006B6FBC">
        <w:rPr>
          <w:rFonts w:ascii="Calibri" w:hAnsi="Calibri" w:cs="Calibri"/>
          <w:sz w:val="24"/>
          <w:szCs w:val="24"/>
        </w:rPr>
        <w:t>Минэкономразвития России</w:t>
      </w:r>
      <w:r>
        <w:rPr>
          <w:rFonts w:ascii="Calibri" w:hAnsi="Calibri" w:cs="Calibri"/>
          <w:sz w:val="24"/>
          <w:szCs w:val="24"/>
        </w:rPr>
        <w:t xml:space="preserve"> </w:t>
      </w:r>
      <w:r w:rsidRPr="006B6FBC">
        <w:rPr>
          <w:rFonts w:ascii="Calibri" w:hAnsi="Calibri" w:cs="Calibri"/>
          <w:sz w:val="24"/>
          <w:szCs w:val="24"/>
        </w:rPr>
        <w:t>от 1 сентября 2014 г. N 540</w:t>
      </w:r>
    </w:p>
    <w:p w:rsidR="00484A79" w:rsidRPr="00156A6A" w:rsidRDefault="00156A6A" w:rsidP="009A4B24">
      <w:pPr>
        <w:spacing w:after="0" w:line="240" w:lineRule="auto"/>
        <w:rPr>
          <w:bCs/>
          <w:sz w:val="24"/>
          <w:szCs w:val="24"/>
        </w:rPr>
      </w:pPr>
      <w:r w:rsidRPr="00156A6A">
        <w:rPr>
          <w:bCs/>
          <w:sz w:val="24"/>
          <w:szCs w:val="24"/>
        </w:rPr>
        <w:t xml:space="preserve">** - </w:t>
      </w:r>
      <w:r w:rsidR="0030249E">
        <w:rPr>
          <w:bCs/>
          <w:sz w:val="24"/>
          <w:szCs w:val="24"/>
        </w:rPr>
        <w:t>П</w:t>
      </w:r>
      <w:r w:rsidR="00DE72F2">
        <w:rPr>
          <w:bCs/>
          <w:sz w:val="24"/>
          <w:szCs w:val="24"/>
        </w:rPr>
        <w:t xml:space="preserve">оадресная </w:t>
      </w:r>
      <w:r>
        <w:rPr>
          <w:bCs/>
          <w:sz w:val="24"/>
          <w:szCs w:val="24"/>
        </w:rPr>
        <w:t xml:space="preserve">информация </w:t>
      </w:r>
      <w:r w:rsidR="008109F8">
        <w:rPr>
          <w:bCs/>
          <w:sz w:val="24"/>
          <w:szCs w:val="24"/>
        </w:rPr>
        <w:t>администрации района</w:t>
      </w:r>
      <w:r w:rsidR="001F33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</w:t>
      </w:r>
      <w:r w:rsidR="00DF1588">
        <w:rPr>
          <w:bCs/>
          <w:sz w:val="24"/>
          <w:szCs w:val="24"/>
        </w:rPr>
        <w:t>12.09</w:t>
      </w:r>
      <w:r>
        <w:rPr>
          <w:bCs/>
          <w:sz w:val="24"/>
          <w:szCs w:val="24"/>
        </w:rPr>
        <w:t>.201</w:t>
      </w:r>
      <w:r w:rsidR="00DF158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г.</w:t>
      </w:r>
      <w:r w:rsidR="0025588A">
        <w:rPr>
          <w:bCs/>
          <w:sz w:val="24"/>
          <w:szCs w:val="24"/>
        </w:rPr>
        <w:t>:</w:t>
      </w:r>
    </w:p>
    <w:tbl>
      <w:tblPr>
        <w:tblW w:w="7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3"/>
        <w:gridCol w:w="1505"/>
        <w:gridCol w:w="1473"/>
        <w:gridCol w:w="1437"/>
        <w:gridCol w:w="1286"/>
      </w:tblGrid>
      <w:tr w:rsidR="0025588A" w:rsidRPr="00512D02" w:rsidTr="0025588A">
        <w:trPr>
          <w:trHeight w:val="300"/>
        </w:trPr>
        <w:tc>
          <w:tcPr>
            <w:tcW w:w="2143" w:type="dxa"/>
            <w:vMerge w:val="restart"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2978" w:type="dxa"/>
            <w:gridSpan w:val="2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Н</w:t>
            </w: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айм</w:t>
            </w:r>
          </w:p>
        </w:tc>
        <w:tc>
          <w:tcPr>
            <w:tcW w:w="2723" w:type="dxa"/>
            <w:gridSpan w:val="2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С</w:t>
            </w: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обст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венность</w:t>
            </w:r>
          </w:p>
        </w:tc>
      </w:tr>
      <w:tr w:rsidR="0025588A" w:rsidRPr="00512D02" w:rsidTr="0025588A">
        <w:trPr>
          <w:trHeight w:val="300"/>
        </w:trPr>
        <w:tc>
          <w:tcPr>
            <w:tcW w:w="2143" w:type="dxa"/>
            <w:vMerge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количество </w:t>
            </w: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пом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ещений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п</w:t>
            </w: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л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ощадь,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02001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 xml:space="preserve">количество </w:t>
            </w: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пом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ещений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25588A" w:rsidRPr="00512D02" w:rsidRDefault="0025588A" w:rsidP="00BD408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п</w:t>
            </w: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л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ощадь,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кв.м.</w:t>
            </w:r>
          </w:p>
        </w:tc>
      </w:tr>
      <w:tr w:rsidR="0025588A" w:rsidRPr="00512D02" w:rsidTr="0025588A">
        <w:trPr>
          <w:trHeight w:val="300"/>
        </w:trPr>
        <w:tc>
          <w:tcPr>
            <w:tcW w:w="2143" w:type="dxa"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Азовская, 14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279,53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261,8</w:t>
            </w:r>
          </w:p>
        </w:tc>
      </w:tr>
      <w:tr w:rsidR="0025588A" w:rsidRPr="00512D02" w:rsidTr="0025588A">
        <w:trPr>
          <w:trHeight w:val="300"/>
        </w:trPr>
        <w:tc>
          <w:tcPr>
            <w:tcW w:w="2143" w:type="dxa"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Азовская, 17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165,8</w:t>
            </w:r>
          </w:p>
        </w:tc>
      </w:tr>
      <w:tr w:rsidR="0025588A" w:rsidRPr="00512D02" w:rsidTr="0025588A">
        <w:trPr>
          <w:trHeight w:val="300"/>
        </w:trPr>
        <w:tc>
          <w:tcPr>
            <w:tcW w:w="2143" w:type="dxa"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Азовская, 18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284,6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291,8</w:t>
            </w:r>
          </w:p>
        </w:tc>
      </w:tr>
      <w:tr w:rsidR="0025588A" w:rsidRPr="00512D02" w:rsidTr="0025588A">
        <w:trPr>
          <w:trHeight w:val="300"/>
        </w:trPr>
        <w:tc>
          <w:tcPr>
            <w:tcW w:w="2143" w:type="dxa"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Пр.Гагарина, 51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240,31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345,69</w:t>
            </w:r>
          </w:p>
        </w:tc>
      </w:tr>
      <w:tr w:rsidR="0025588A" w:rsidRPr="00512D02" w:rsidTr="0025588A">
        <w:trPr>
          <w:trHeight w:val="300"/>
        </w:trPr>
        <w:tc>
          <w:tcPr>
            <w:tcW w:w="2143" w:type="dxa"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Пр.Гагарина, 53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155,84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317,4</w:t>
            </w:r>
          </w:p>
        </w:tc>
      </w:tr>
      <w:tr w:rsidR="0025588A" w:rsidRPr="00512D02" w:rsidTr="0025588A">
        <w:trPr>
          <w:trHeight w:val="300"/>
        </w:trPr>
        <w:tc>
          <w:tcPr>
            <w:tcW w:w="2143" w:type="dxa"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Пр.Гагарина, 55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430,3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158</w:t>
            </w:r>
          </w:p>
        </w:tc>
      </w:tr>
      <w:tr w:rsidR="0025588A" w:rsidRPr="00512D02" w:rsidTr="0025588A">
        <w:trPr>
          <w:trHeight w:val="441"/>
        </w:trPr>
        <w:tc>
          <w:tcPr>
            <w:tcW w:w="2143" w:type="dxa"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Подгорная, 12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272,6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color w:val="000000"/>
                <w:sz w:val="24"/>
                <w:szCs w:val="24"/>
              </w:rPr>
              <w:t>152,2</w:t>
            </w:r>
          </w:p>
        </w:tc>
      </w:tr>
      <w:tr w:rsidR="0025588A" w:rsidRPr="00512D02" w:rsidTr="0025588A">
        <w:trPr>
          <w:trHeight w:val="343"/>
        </w:trPr>
        <w:tc>
          <w:tcPr>
            <w:tcW w:w="2143" w:type="dxa"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2077,18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1692,69</w:t>
            </w:r>
          </w:p>
        </w:tc>
      </w:tr>
      <w:tr w:rsidR="0025588A" w:rsidRPr="00512D02" w:rsidTr="0025588A">
        <w:trPr>
          <w:trHeight w:val="300"/>
        </w:trPr>
        <w:tc>
          <w:tcPr>
            <w:tcW w:w="2143" w:type="dxa"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3024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512D02">
              <w:rPr>
                <w:rFonts w:ascii="Calibri" w:hAnsi="Calibri"/>
                <w:sz w:val="24"/>
                <w:szCs w:val="24"/>
              </w:rPr>
              <w:t>из них 1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  <w:r w:rsidRPr="00512D02">
              <w:rPr>
                <w:rFonts w:ascii="Calibri" w:hAnsi="Calibri"/>
                <w:sz w:val="24"/>
                <w:szCs w:val="24"/>
              </w:rPr>
              <w:t xml:space="preserve"> свободны</w:t>
            </w:r>
          </w:p>
        </w:tc>
        <w:tc>
          <w:tcPr>
            <w:tcW w:w="1473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293,34</w:t>
            </w:r>
          </w:p>
        </w:tc>
        <w:tc>
          <w:tcPr>
            <w:tcW w:w="1437" w:type="dxa"/>
            <w:shd w:val="clear" w:color="auto" w:fill="auto"/>
            <w:noWrap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vAlign w:val="bottom"/>
            <w:hideMark/>
          </w:tcPr>
          <w:p w:rsidR="0025588A" w:rsidRPr="00512D02" w:rsidRDefault="0025588A" w:rsidP="005C3DC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:rsidR="00FE2347" w:rsidRDefault="00FE2347" w:rsidP="00075ECF">
      <w:pPr>
        <w:spacing w:after="0" w:line="240" w:lineRule="auto"/>
        <w:rPr>
          <w:b/>
          <w:bCs/>
          <w:sz w:val="24"/>
          <w:szCs w:val="24"/>
        </w:rPr>
      </w:pPr>
    </w:p>
    <w:p w:rsidR="00303643" w:rsidRDefault="0030249E" w:rsidP="00075ECF">
      <w:pPr>
        <w:spacing w:after="0" w:line="240" w:lineRule="auto"/>
        <w:rPr>
          <w:b/>
          <w:bCs/>
          <w:sz w:val="24"/>
          <w:szCs w:val="24"/>
        </w:rPr>
      </w:pPr>
      <w:r w:rsidRPr="0030249E">
        <w:rPr>
          <w:rFonts w:ascii="Calibri" w:hAnsi="Calibri"/>
          <w:szCs w:val="28"/>
        </w:rPr>
        <w:t>Свободные ж</w:t>
      </w:r>
      <w:r w:rsidR="00303643" w:rsidRPr="0030249E">
        <w:rPr>
          <w:rFonts w:ascii="Calibri" w:hAnsi="Calibri"/>
          <w:szCs w:val="28"/>
        </w:rPr>
        <w:t>илые помещения, в отношении которых ранее расторгнуты договоры социального найма</w:t>
      </w:r>
    </w:p>
    <w:tbl>
      <w:tblPr>
        <w:tblW w:w="9131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2327"/>
        <w:gridCol w:w="1275"/>
        <w:gridCol w:w="1276"/>
        <w:gridCol w:w="992"/>
        <w:gridCol w:w="1843"/>
        <w:gridCol w:w="1418"/>
      </w:tblGrid>
      <w:tr w:rsidR="00303643" w:rsidTr="00303643">
        <w:trPr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43" w:rsidRDefault="00303643" w:rsidP="003036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Название улицы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3" w:rsidRDefault="003036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3" w:rsidRDefault="00303643">
            <w:pPr>
              <w:pStyle w:val="HeadDoc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№ квартиры/комнаты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3" w:rsidRDefault="00303643">
            <w:pPr>
              <w:pStyle w:val="HeadDoc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Кол-во комнат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3" w:rsidRDefault="00303643" w:rsidP="00303643">
            <w:pPr>
              <w:pStyle w:val="HeadDoc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Форма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3" w:rsidRDefault="00303643" w:rsidP="00303643">
            <w:pPr>
              <w:pStyle w:val="HeadDoc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Общая площадь</w:t>
            </w:r>
          </w:p>
        </w:tc>
      </w:tr>
      <w:tr w:rsidR="00303643" w:rsidTr="00B87826">
        <w:trPr>
          <w:trHeight w:val="353"/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3" w:rsidRDefault="003036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Азовская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43" w:rsidRDefault="0030364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643" w:rsidRDefault="003036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643" w:rsidRDefault="003036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643" w:rsidRPr="0030249E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3643" w:rsidRDefault="003036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</w:tr>
      <w:tr w:rsidR="00B87826" w:rsidTr="00B87826">
        <w:trPr>
          <w:trHeight w:val="362"/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Азовская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1/16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Pr="0030249E" w:rsidRDefault="00B87826" w:rsidP="00623A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20,40</w:t>
            </w:r>
          </w:p>
        </w:tc>
      </w:tr>
      <w:tr w:rsidR="00B87826" w:rsidTr="00B87826">
        <w:trPr>
          <w:trHeight w:val="383"/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Азовская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Pr="0030249E" w:rsidRDefault="00B87826" w:rsidP="00751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21,40</w:t>
            </w:r>
          </w:p>
        </w:tc>
      </w:tr>
      <w:tr w:rsidR="00B87826" w:rsidTr="00B87826">
        <w:trPr>
          <w:trHeight w:val="392"/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Азовская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Pr="0030249E" w:rsidRDefault="00B87826" w:rsidP="007510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16,40</w:t>
            </w:r>
          </w:p>
        </w:tc>
      </w:tr>
      <w:tr w:rsidR="00B87826" w:rsidTr="00B87826">
        <w:trPr>
          <w:trHeight w:val="409"/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проспект Гагарина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Pr="0030249E" w:rsidRDefault="00B87826" w:rsidP="002C19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17,40</w:t>
            </w:r>
          </w:p>
        </w:tc>
      </w:tr>
      <w:tr w:rsidR="00B87826" w:rsidTr="00B87826">
        <w:trPr>
          <w:trHeight w:val="444"/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проспект Гагарина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Pr="0030249E" w:rsidRDefault="00B87826" w:rsidP="002C193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18,90</w:t>
            </w:r>
          </w:p>
        </w:tc>
      </w:tr>
      <w:tr w:rsidR="00B87826" w:rsidTr="00B87826">
        <w:trPr>
          <w:trHeight w:val="309"/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lastRenderedPageBreak/>
              <w:t>проспект Гагарина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Pr="0030249E" w:rsidRDefault="00B87826" w:rsidP="00A169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35,94</w:t>
            </w:r>
          </w:p>
        </w:tc>
      </w:tr>
      <w:tr w:rsidR="00B87826" w:rsidTr="00B87826">
        <w:trPr>
          <w:trHeight w:val="331"/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проспект Гагарина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Pr="0030249E" w:rsidRDefault="00B87826" w:rsidP="00A169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25,40</w:t>
            </w:r>
          </w:p>
        </w:tc>
      </w:tr>
      <w:tr w:rsidR="00B87826" w:rsidTr="00B87826">
        <w:trPr>
          <w:trHeight w:val="353"/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Подгорная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Pr="0030249E" w:rsidRDefault="00B87826" w:rsidP="00E818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43,30</w:t>
            </w:r>
          </w:p>
        </w:tc>
      </w:tr>
      <w:tr w:rsidR="00B87826" w:rsidTr="00B87826">
        <w:trPr>
          <w:trHeight w:val="375"/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Подгорная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Pr="0030249E" w:rsidRDefault="00B87826" w:rsidP="00E818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37,60</w:t>
            </w:r>
          </w:p>
        </w:tc>
      </w:tr>
      <w:tr w:rsidR="00B87826" w:rsidTr="00B87826">
        <w:trPr>
          <w:trHeight w:val="383"/>
          <w:tblHeader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Подгорная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826" w:rsidRPr="0030249E" w:rsidRDefault="00B87826" w:rsidP="00E818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35,10</w:t>
            </w:r>
          </w:p>
        </w:tc>
      </w:tr>
      <w:tr w:rsidR="00B87826" w:rsidTr="00542FBE">
        <w:trPr>
          <w:tblHeader/>
        </w:trPr>
        <w:tc>
          <w:tcPr>
            <w:tcW w:w="7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6" w:rsidRPr="0030249E" w:rsidRDefault="00B87826" w:rsidP="00E8186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26" w:rsidRDefault="00B8782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293,34</w:t>
            </w:r>
          </w:p>
        </w:tc>
      </w:tr>
    </w:tbl>
    <w:p w:rsidR="00303643" w:rsidRDefault="00303643" w:rsidP="00075ECF">
      <w:pPr>
        <w:spacing w:after="0" w:line="240" w:lineRule="auto"/>
        <w:rPr>
          <w:b/>
          <w:bCs/>
          <w:sz w:val="24"/>
          <w:szCs w:val="24"/>
        </w:rPr>
      </w:pPr>
    </w:p>
    <w:sectPr w:rsidR="00303643" w:rsidSect="009A4B24">
      <w:pgSz w:w="16838" w:h="11906" w:orient="landscape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4A4B"/>
    <w:rsid w:val="00005724"/>
    <w:rsid w:val="00020CC5"/>
    <w:rsid w:val="000401D9"/>
    <w:rsid w:val="00075ECF"/>
    <w:rsid w:val="000868D1"/>
    <w:rsid w:val="000B1947"/>
    <w:rsid w:val="000C2075"/>
    <w:rsid w:val="000C3B33"/>
    <w:rsid w:val="000C7DBA"/>
    <w:rsid w:val="000E2629"/>
    <w:rsid w:val="000E4EFA"/>
    <w:rsid w:val="000F0BA3"/>
    <w:rsid w:val="000F5526"/>
    <w:rsid w:val="000F5BA7"/>
    <w:rsid w:val="00121056"/>
    <w:rsid w:val="0012242B"/>
    <w:rsid w:val="0013481D"/>
    <w:rsid w:val="0014015E"/>
    <w:rsid w:val="001534DE"/>
    <w:rsid w:val="00156A6A"/>
    <w:rsid w:val="0016670C"/>
    <w:rsid w:val="001A4E50"/>
    <w:rsid w:val="001E195F"/>
    <w:rsid w:val="001F33EF"/>
    <w:rsid w:val="00226D56"/>
    <w:rsid w:val="0025588A"/>
    <w:rsid w:val="002858F0"/>
    <w:rsid w:val="00292AE8"/>
    <w:rsid w:val="002A56F9"/>
    <w:rsid w:val="002D465D"/>
    <w:rsid w:val="002D5F58"/>
    <w:rsid w:val="002F6CDF"/>
    <w:rsid w:val="0030249E"/>
    <w:rsid w:val="00303643"/>
    <w:rsid w:val="00303903"/>
    <w:rsid w:val="00320A0E"/>
    <w:rsid w:val="00321A53"/>
    <w:rsid w:val="00337379"/>
    <w:rsid w:val="00343750"/>
    <w:rsid w:val="00383191"/>
    <w:rsid w:val="003A2022"/>
    <w:rsid w:val="003E1A08"/>
    <w:rsid w:val="00437509"/>
    <w:rsid w:val="00464D0D"/>
    <w:rsid w:val="0046583B"/>
    <w:rsid w:val="00467056"/>
    <w:rsid w:val="00472D2C"/>
    <w:rsid w:val="00473AE6"/>
    <w:rsid w:val="00484A79"/>
    <w:rsid w:val="00494E19"/>
    <w:rsid w:val="004D6FB7"/>
    <w:rsid w:val="004E1630"/>
    <w:rsid w:val="004F3919"/>
    <w:rsid w:val="004F612F"/>
    <w:rsid w:val="00500FEE"/>
    <w:rsid w:val="00532C2F"/>
    <w:rsid w:val="00546E8A"/>
    <w:rsid w:val="005679B5"/>
    <w:rsid w:val="005B3214"/>
    <w:rsid w:val="005C4D4A"/>
    <w:rsid w:val="006231BA"/>
    <w:rsid w:val="00631CDF"/>
    <w:rsid w:val="00647616"/>
    <w:rsid w:val="00660F83"/>
    <w:rsid w:val="00666350"/>
    <w:rsid w:val="00674368"/>
    <w:rsid w:val="006816D3"/>
    <w:rsid w:val="006916F0"/>
    <w:rsid w:val="006A17F1"/>
    <w:rsid w:val="006A3F78"/>
    <w:rsid w:val="006D395C"/>
    <w:rsid w:val="006E391B"/>
    <w:rsid w:val="006F1899"/>
    <w:rsid w:val="0070669E"/>
    <w:rsid w:val="00710F5E"/>
    <w:rsid w:val="00734B3F"/>
    <w:rsid w:val="007A3F7A"/>
    <w:rsid w:val="007B43A8"/>
    <w:rsid w:val="007F1531"/>
    <w:rsid w:val="00805C23"/>
    <w:rsid w:val="008109F8"/>
    <w:rsid w:val="00825224"/>
    <w:rsid w:val="00836F0A"/>
    <w:rsid w:val="0085691D"/>
    <w:rsid w:val="0085787D"/>
    <w:rsid w:val="00872962"/>
    <w:rsid w:val="008B45A4"/>
    <w:rsid w:val="008D7ADD"/>
    <w:rsid w:val="008E3A03"/>
    <w:rsid w:val="008E3B08"/>
    <w:rsid w:val="008F66AF"/>
    <w:rsid w:val="0090264C"/>
    <w:rsid w:val="009047FE"/>
    <w:rsid w:val="0092624E"/>
    <w:rsid w:val="0093686E"/>
    <w:rsid w:val="0094558E"/>
    <w:rsid w:val="009624D5"/>
    <w:rsid w:val="009A4B24"/>
    <w:rsid w:val="009A6BAC"/>
    <w:rsid w:val="009C17AF"/>
    <w:rsid w:val="009D74D5"/>
    <w:rsid w:val="00A07DF5"/>
    <w:rsid w:val="00A133E9"/>
    <w:rsid w:val="00A17B19"/>
    <w:rsid w:val="00A22E4E"/>
    <w:rsid w:val="00A26CFB"/>
    <w:rsid w:val="00A42E43"/>
    <w:rsid w:val="00A8592F"/>
    <w:rsid w:val="00A92FBA"/>
    <w:rsid w:val="00A97DCD"/>
    <w:rsid w:val="00AA4CBB"/>
    <w:rsid w:val="00AE2191"/>
    <w:rsid w:val="00AF389E"/>
    <w:rsid w:val="00B06D7E"/>
    <w:rsid w:val="00B5338A"/>
    <w:rsid w:val="00B82335"/>
    <w:rsid w:val="00B87826"/>
    <w:rsid w:val="00B9359A"/>
    <w:rsid w:val="00B93CEC"/>
    <w:rsid w:val="00BA3E75"/>
    <w:rsid w:val="00BA4A2E"/>
    <w:rsid w:val="00BB5C56"/>
    <w:rsid w:val="00BE1C26"/>
    <w:rsid w:val="00BE30D4"/>
    <w:rsid w:val="00BE4C6D"/>
    <w:rsid w:val="00C312A1"/>
    <w:rsid w:val="00C34C7D"/>
    <w:rsid w:val="00C71F0D"/>
    <w:rsid w:val="00C95A98"/>
    <w:rsid w:val="00CA20DC"/>
    <w:rsid w:val="00CA50CD"/>
    <w:rsid w:val="00CC0D01"/>
    <w:rsid w:val="00CC21C2"/>
    <w:rsid w:val="00CD7104"/>
    <w:rsid w:val="00CE117B"/>
    <w:rsid w:val="00CE5A75"/>
    <w:rsid w:val="00CE5E99"/>
    <w:rsid w:val="00CE67CF"/>
    <w:rsid w:val="00D03841"/>
    <w:rsid w:val="00D55D7B"/>
    <w:rsid w:val="00DB5A29"/>
    <w:rsid w:val="00DC33FC"/>
    <w:rsid w:val="00DE121D"/>
    <w:rsid w:val="00DE72F2"/>
    <w:rsid w:val="00DF0823"/>
    <w:rsid w:val="00DF1588"/>
    <w:rsid w:val="00DF5BE8"/>
    <w:rsid w:val="00E018D5"/>
    <w:rsid w:val="00E11B66"/>
    <w:rsid w:val="00E12EAE"/>
    <w:rsid w:val="00E25E9D"/>
    <w:rsid w:val="00E30344"/>
    <w:rsid w:val="00EA0937"/>
    <w:rsid w:val="00EA173B"/>
    <w:rsid w:val="00EC64ED"/>
    <w:rsid w:val="00ED4A4B"/>
    <w:rsid w:val="00EE5528"/>
    <w:rsid w:val="00EE7D68"/>
    <w:rsid w:val="00EF3047"/>
    <w:rsid w:val="00EF388E"/>
    <w:rsid w:val="00F0603A"/>
    <w:rsid w:val="00F07FCC"/>
    <w:rsid w:val="00F116C7"/>
    <w:rsid w:val="00F13E3E"/>
    <w:rsid w:val="00F240E8"/>
    <w:rsid w:val="00F359B8"/>
    <w:rsid w:val="00F80FA9"/>
    <w:rsid w:val="00F83E64"/>
    <w:rsid w:val="00F85350"/>
    <w:rsid w:val="00F86B37"/>
    <w:rsid w:val="00FB229E"/>
    <w:rsid w:val="00FB3298"/>
    <w:rsid w:val="00FD3D69"/>
    <w:rsid w:val="00FE2347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A4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82335"/>
    <w:rPr>
      <w:rFonts w:ascii="Calibri" w:hAnsi="Calibri" w:hint="default"/>
      <w:b w:val="0"/>
      <w:bCs w:val="0"/>
      <w:i w:val="0"/>
      <w:iCs w:val="0"/>
      <w:color w:val="000000"/>
      <w:sz w:val="30"/>
      <w:szCs w:val="30"/>
    </w:rPr>
  </w:style>
  <w:style w:type="paragraph" w:styleId="a5">
    <w:name w:val="Body Text Indent"/>
    <w:basedOn w:val="a"/>
    <w:link w:val="a6"/>
    <w:rsid w:val="00EA173B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A173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2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DE72F2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e.guzovina</dc:creator>
  <cp:lastModifiedBy>l.shilova</cp:lastModifiedBy>
  <cp:revision>31</cp:revision>
  <cp:lastPrinted>2020-01-22T12:05:00Z</cp:lastPrinted>
  <dcterms:created xsi:type="dcterms:W3CDTF">2019-07-18T13:56:00Z</dcterms:created>
  <dcterms:modified xsi:type="dcterms:W3CDTF">2020-03-17T13:08:00Z</dcterms:modified>
</cp:coreProperties>
</file>