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B8" w:rsidRPr="005262CC" w:rsidRDefault="00325DBF">
      <w:pPr>
        <w:pStyle w:val="a5"/>
        <w:rPr>
          <w:rFonts w:asciiTheme="minorHAnsi" w:hAnsiTheme="minorHAnsi"/>
        </w:rPr>
      </w:pPr>
      <w:r w:rsidRPr="005262CC">
        <w:rPr>
          <w:rFonts w:asciiTheme="minorHAnsi" w:hAnsiTheme="minorHAnsi"/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262CC" w:rsidRDefault="00CF05B8">
      <w:pPr>
        <w:pStyle w:val="a5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454A78">
      <w:pPr>
        <w:pStyle w:val="a5"/>
        <w:rPr>
          <w:rFonts w:asciiTheme="minorHAnsi" w:hAnsiTheme="minorHAnsi"/>
          <w:szCs w:val="32"/>
        </w:rPr>
      </w:pPr>
      <w:r w:rsidRPr="005262CC">
        <w:rPr>
          <w:rFonts w:asciiTheme="minorHAnsi" w:hAnsiTheme="minorHAnsi"/>
          <w:szCs w:val="32"/>
        </w:rPr>
        <w:t>АДМИНИСТРАЦИЯ ГОРОДА НИЖНЕГО НОВГ</w:t>
      </w:r>
      <w:r w:rsidR="00AB0B86" w:rsidRPr="005262CC">
        <w:rPr>
          <w:rFonts w:asciiTheme="minorHAnsi" w:hAnsiTheme="minorHAnsi"/>
          <w:szCs w:val="32"/>
        </w:rPr>
        <w:t>О</w:t>
      </w:r>
      <w:r w:rsidRPr="005262CC">
        <w:rPr>
          <w:rFonts w:asciiTheme="minorHAnsi" w:hAnsiTheme="minorHAnsi"/>
          <w:szCs w:val="32"/>
        </w:rPr>
        <w:t>РОДА</w:t>
      </w:r>
    </w:p>
    <w:p w:rsidR="00CF05B8" w:rsidRPr="005262CC" w:rsidRDefault="00CF05B8">
      <w:pPr>
        <w:rPr>
          <w:rFonts w:asciiTheme="minorHAnsi" w:hAnsiTheme="minorHAnsi"/>
          <w:sz w:val="18"/>
          <w:szCs w:val="18"/>
        </w:rPr>
      </w:pPr>
    </w:p>
    <w:p w:rsidR="00CF05B8" w:rsidRPr="005262CC" w:rsidRDefault="0046450A">
      <w:pPr>
        <w:pStyle w:val="6"/>
        <w:rPr>
          <w:rFonts w:asciiTheme="minorHAnsi" w:hAnsiTheme="minorHAnsi"/>
          <w:sz w:val="36"/>
          <w:szCs w:val="36"/>
        </w:rPr>
      </w:pPr>
      <w:r w:rsidRPr="005262CC">
        <w:rPr>
          <w:rFonts w:asciiTheme="minorHAnsi" w:hAnsiTheme="minorHAnsi"/>
          <w:sz w:val="36"/>
          <w:szCs w:val="36"/>
        </w:rPr>
        <w:t>ПОСТАНОВЛЕНИЕ</w:t>
      </w:r>
    </w:p>
    <w:p w:rsidR="00CF05B8" w:rsidRPr="005262CC" w:rsidRDefault="00CF05B8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CF05B8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7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1401"/>
        <w:gridCol w:w="1692"/>
        <w:gridCol w:w="1513"/>
        <w:gridCol w:w="2294"/>
      </w:tblGrid>
      <w:tr w:rsidR="002022F0" w:rsidRPr="005262CC" w:rsidTr="00636FE2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5262CC" w:rsidRDefault="00F738D3" w:rsidP="00B542D9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25.12.2019</w:t>
                </w:r>
              </w:p>
            </w:sdtContent>
          </w:sdt>
        </w:tc>
        <w:tc>
          <w:tcPr>
            <w:tcW w:w="1401" w:type="dxa"/>
          </w:tcPr>
          <w:p w:rsidR="002022F0" w:rsidRPr="005262CC" w:rsidRDefault="002022F0" w:rsidP="00636FE2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5262CC" w:rsidRDefault="002022F0" w:rsidP="00636FE2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5262CC" w:rsidRDefault="002022F0" w:rsidP="00636FE2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5262CC" w:rsidRDefault="002022F0" w:rsidP="00B542D9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5262CC">
              <w:rPr>
                <w:rStyle w:val="Datenum"/>
                <w:rFonts w:asciiTheme="minorHAnsi" w:hAnsiTheme="minorHAnsi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F738D3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5079</w:t>
                </w:r>
              </w:sdtContent>
            </w:sdt>
          </w:p>
        </w:tc>
      </w:tr>
    </w:tbl>
    <w:p w:rsidR="00CF05B8" w:rsidRPr="005262CC" w:rsidRDefault="00CF05B8">
      <w:pPr>
        <w:jc w:val="both"/>
        <w:rPr>
          <w:rFonts w:asciiTheme="minorHAnsi" w:hAnsiTheme="minorHAnsi"/>
          <w:sz w:val="18"/>
          <w:szCs w:val="18"/>
        </w:rPr>
      </w:pPr>
    </w:p>
    <w:p w:rsidR="004328F6" w:rsidRPr="005262CC" w:rsidRDefault="004328F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7"/>
        <w:tblpPr w:leftFromText="180" w:rightFromText="180" w:vertAnchor="text" w:tblpX="-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4328F6" w:rsidRPr="005262CC" w:rsidTr="00E91FAF">
        <w:tc>
          <w:tcPr>
            <w:tcW w:w="284" w:type="dxa"/>
          </w:tcPr>
          <w:p w:rsidR="004328F6" w:rsidRPr="005262CC" w:rsidRDefault="004328F6" w:rsidP="00E91FAF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4328F6" w:rsidRPr="005262CC" w:rsidRDefault="004328F6" w:rsidP="00E91FAF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5262CC" w:rsidRDefault="004328F6" w:rsidP="00E91FAF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5262CC" w:rsidTr="00E91FAF">
        <w:tc>
          <w:tcPr>
            <w:tcW w:w="4962" w:type="dxa"/>
            <w:gridSpan w:val="3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Title"/>
              <w:tag w:val="Title"/>
              <w:id w:val="-1885396532"/>
              <w:lock w:val="sdtLocked"/>
              <w:placeholder>
                <w:docPart w:val="7F0CEC2F53FB40A9AC5A008E958E0D1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4328F6" w:rsidRPr="005262CC" w:rsidRDefault="00F738D3" w:rsidP="00E91FAF">
                <w:pPr>
                  <w:ind w:firstLine="0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О внесении изменений в постановление администрации города Нижнего Новгорода от 26.09.2011 № 3763  </w:t>
                </w:r>
              </w:p>
            </w:sdtContent>
          </w:sdt>
        </w:tc>
      </w:tr>
    </w:tbl>
    <w:p w:rsidR="004328F6" w:rsidRPr="005262CC" w:rsidRDefault="00B542D9" w:rsidP="004328F6">
      <w:pPr>
        <w:rPr>
          <w:rFonts w:asciiTheme="minorHAnsi" w:hAnsiTheme="minorHAnsi"/>
          <w:sz w:val="28"/>
          <w:szCs w:val="28"/>
        </w:rPr>
      </w:pPr>
      <w:r w:rsidRPr="005262CC">
        <w:rPr>
          <w:rFonts w:asciiTheme="minorHAnsi" w:hAnsiTheme="minorHAnsi"/>
          <w:sz w:val="28"/>
          <w:szCs w:val="28"/>
        </w:rPr>
        <w:br w:type="textWrapping" w:clear="all"/>
      </w:r>
    </w:p>
    <w:p w:rsidR="004328F6" w:rsidRPr="005262CC" w:rsidRDefault="004328F6" w:rsidP="004328F6">
      <w:pPr>
        <w:ind w:firstLine="567"/>
        <w:rPr>
          <w:rFonts w:asciiTheme="minorHAnsi" w:hAnsiTheme="minorHAnsi"/>
          <w:sz w:val="28"/>
          <w:szCs w:val="28"/>
        </w:rPr>
      </w:pPr>
    </w:p>
    <w:p w:rsidR="00E91FAF" w:rsidRPr="00E91FAF" w:rsidRDefault="00E91FAF" w:rsidP="00E91FAF">
      <w:pPr>
        <w:autoSpaceDE w:val="0"/>
        <w:autoSpaceDN w:val="0"/>
        <w:adjustRightInd w:val="0"/>
        <w:ind w:firstLine="539"/>
        <w:jc w:val="both"/>
        <w:rPr>
          <w:rStyle w:val="Datenum"/>
          <w:rFonts w:ascii="Calibri" w:hAnsi="Calibri"/>
          <w:sz w:val="28"/>
          <w:szCs w:val="28"/>
        </w:rPr>
      </w:pPr>
      <w:r w:rsidRPr="00E91FAF">
        <w:rPr>
          <w:rStyle w:val="Datenum"/>
          <w:rFonts w:ascii="Calibri" w:hAnsi="Calibri"/>
          <w:sz w:val="28"/>
          <w:szCs w:val="28"/>
        </w:rPr>
        <w:t xml:space="preserve">На основании </w:t>
      </w:r>
      <w:hyperlink r:id="rId8" w:history="1">
        <w:r w:rsidRPr="00E91FAF">
          <w:rPr>
            <w:rStyle w:val="Datenum"/>
            <w:rFonts w:ascii="Calibri" w:hAnsi="Calibri"/>
            <w:sz w:val="28"/>
            <w:szCs w:val="28"/>
          </w:rPr>
          <w:t>статьи 52</w:t>
        </w:r>
      </w:hyperlink>
      <w:r w:rsidRPr="00E91FAF">
        <w:rPr>
          <w:rStyle w:val="Datenum"/>
          <w:rFonts w:ascii="Calibri" w:hAnsi="Calibri"/>
          <w:sz w:val="28"/>
          <w:szCs w:val="28"/>
        </w:rPr>
        <w:t xml:space="preserve"> Устава города Нижнего Новгорода администрация города Нижнего Новгорода постановляет:</w:t>
      </w:r>
    </w:p>
    <w:p w:rsidR="00E91FAF" w:rsidRPr="00E91FAF" w:rsidRDefault="00E91FAF" w:rsidP="00E91FAF">
      <w:pPr>
        <w:autoSpaceDE w:val="0"/>
        <w:autoSpaceDN w:val="0"/>
        <w:adjustRightInd w:val="0"/>
        <w:ind w:firstLine="539"/>
        <w:jc w:val="both"/>
        <w:rPr>
          <w:rStyle w:val="Datenum"/>
          <w:rFonts w:ascii="Calibri" w:hAnsi="Calibri"/>
          <w:sz w:val="28"/>
          <w:szCs w:val="28"/>
        </w:rPr>
      </w:pPr>
      <w:r w:rsidRPr="00E91FAF">
        <w:rPr>
          <w:rStyle w:val="Datenum"/>
          <w:rFonts w:ascii="Calibri" w:hAnsi="Calibri"/>
          <w:sz w:val="28"/>
          <w:szCs w:val="28"/>
        </w:rPr>
        <w:t xml:space="preserve">1. Внести в </w:t>
      </w:r>
      <w:hyperlink r:id="rId9" w:history="1">
        <w:r w:rsidRPr="00E91FAF">
          <w:rPr>
            <w:rStyle w:val="Datenum"/>
            <w:rFonts w:ascii="Calibri" w:hAnsi="Calibri"/>
            <w:sz w:val="28"/>
            <w:szCs w:val="28"/>
          </w:rPr>
          <w:t>Методику</w:t>
        </w:r>
      </w:hyperlink>
      <w:r w:rsidRPr="00E91FAF">
        <w:rPr>
          <w:rStyle w:val="Datenum"/>
          <w:rFonts w:ascii="Calibri" w:hAnsi="Calibri"/>
          <w:sz w:val="28"/>
          <w:szCs w:val="28"/>
        </w:rPr>
        <w:t xml:space="preserve"> определения начальной цены предмета аукциона на право заключения договора на размещение нестационарного торгового объекта, утвержденную постановлением администрации города Нижнего Новгорода от 26.09.2011 № 3763, следующие изменения:</w:t>
      </w:r>
    </w:p>
    <w:p w:rsidR="00E91FAF" w:rsidRPr="00E91FAF" w:rsidRDefault="00E91FAF" w:rsidP="00E91FAF">
      <w:pPr>
        <w:autoSpaceDE w:val="0"/>
        <w:autoSpaceDN w:val="0"/>
        <w:adjustRightInd w:val="0"/>
        <w:ind w:firstLine="539"/>
        <w:jc w:val="both"/>
        <w:rPr>
          <w:rStyle w:val="Datenum"/>
          <w:rFonts w:ascii="Calibri" w:hAnsi="Calibri"/>
          <w:sz w:val="28"/>
          <w:szCs w:val="28"/>
        </w:rPr>
      </w:pPr>
      <w:r w:rsidRPr="00E91FAF">
        <w:rPr>
          <w:rStyle w:val="Datenum"/>
          <w:rFonts w:ascii="Calibri" w:hAnsi="Calibri"/>
          <w:sz w:val="28"/>
          <w:szCs w:val="28"/>
        </w:rPr>
        <w:t>1.1. Абзац 4 изложить в новой редакции:</w:t>
      </w:r>
    </w:p>
    <w:p w:rsidR="00E91FAF" w:rsidRPr="00E91FAF" w:rsidRDefault="00E91FAF" w:rsidP="00E91FAF">
      <w:pPr>
        <w:autoSpaceDE w:val="0"/>
        <w:autoSpaceDN w:val="0"/>
        <w:adjustRightInd w:val="0"/>
        <w:ind w:firstLine="539"/>
        <w:jc w:val="both"/>
        <w:rPr>
          <w:rStyle w:val="Datenum"/>
          <w:rFonts w:ascii="Calibri" w:hAnsi="Calibri"/>
          <w:sz w:val="28"/>
          <w:szCs w:val="28"/>
        </w:rPr>
      </w:pPr>
      <w:r w:rsidRPr="00E91FAF">
        <w:rPr>
          <w:rStyle w:val="Datenum"/>
          <w:rFonts w:ascii="Calibri" w:hAnsi="Calibri"/>
          <w:sz w:val="28"/>
          <w:szCs w:val="28"/>
        </w:rPr>
        <w:t>«</w:t>
      </w:r>
      <w:r w:rsidRPr="00E91FAF">
        <w:rPr>
          <w:rStyle w:val="Datenum"/>
          <w:rFonts w:ascii="Calibri" w:hAnsi="Calibri"/>
          <w:sz w:val="28"/>
          <w:szCs w:val="28"/>
          <w:lang w:val="en-US"/>
        </w:rPr>
        <w:t>S</w:t>
      </w:r>
      <w:r w:rsidRPr="00E91FAF">
        <w:rPr>
          <w:rStyle w:val="Datenum"/>
          <w:rFonts w:ascii="Calibri" w:hAnsi="Calibri"/>
          <w:sz w:val="28"/>
          <w:szCs w:val="28"/>
        </w:rPr>
        <w:t xml:space="preserve"> – начальная цена предмета аукциона (руб. за 365 или 366 календарных дней)».</w:t>
      </w:r>
    </w:p>
    <w:p w:rsidR="00E91FAF" w:rsidRPr="00E91FAF" w:rsidRDefault="00E91FAF" w:rsidP="00E91FAF">
      <w:pPr>
        <w:autoSpaceDE w:val="0"/>
        <w:autoSpaceDN w:val="0"/>
        <w:adjustRightInd w:val="0"/>
        <w:ind w:firstLine="539"/>
        <w:jc w:val="both"/>
        <w:rPr>
          <w:rStyle w:val="Datenum"/>
          <w:rFonts w:ascii="Calibri" w:hAnsi="Calibri"/>
          <w:sz w:val="28"/>
          <w:szCs w:val="28"/>
        </w:rPr>
      </w:pPr>
      <w:r w:rsidRPr="00E91FAF">
        <w:rPr>
          <w:rStyle w:val="Datenum"/>
          <w:rFonts w:ascii="Calibri" w:hAnsi="Calibri"/>
          <w:sz w:val="28"/>
          <w:szCs w:val="28"/>
        </w:rPr>
        <w:t xml:space="preserve">1.2. Приложение </w:t>
      </w:r>
      <w:r w:rsidR="00F738D3">
        <w:rPr>
          <w:rStyle w:val="Datenum"/>
          <w:rFonts w:ascii="Calibri" w:hAnsi="Calibri"/>
          <w:sz w:val="28"/>
          <w:szCs w:val="28"/>
        </w:rPr>
        <w:t xml:space="preserve">№ </w:t>
      </w:r>
      <w:r w:rsidRPr="00E91FAF">
        <w:rPr>
          <w:rStyle w:val="Datenum"/>
          <w:rFonts w:ascii="Calibri" w:hAnsi="Calibri"/>
          <w:sz w:val="28"/>
          <w:szCs w:val="28"/>
        </w:rPr>
        <w:t xml:space="preserve">3 к постановлению администрации города </w:t>
      </w:r>
      <w:r w:rsidR="00F738D3">
        <w:rPr>
          <w:rStyle w:val="Datenum"/>
          <w:rFonts w:ascii="Calibri" w:hAnsi="Calibri"/>
          <w:sz w:val="28"/>
          <w:szCs w:val="28"/>
        </w:rPr>
        <w:t xml:space="preserve">Нижнего Новгорода </w:t>
      </w:r>
      <w:bookmarkStart w:id="0" w:name="_GoBack"/>
      <w:bookmarkEnd w:id="0"/>
      <w:r w:rsidRPr="00E91FAF">
        <w:rPr>
          <w:rStyle w:val="Datenum"/>
          <w:rFonts w:ascii="Calibri" w:hAnsi="Calibri"/>
          <w:sz w:val="28"/>
          <w:szCs w:val="28"/>
        </w:rPr>
        <w:t>изложить в новой редакции:</w:t>
      </w:r>
    </w:p>
    <w:p w:rsidR="00E91FAF" w:rsidRPr="00E91FAF" w:rsidRDefault="00E91FAF" w:rsidP="00E91FAF">
      <w:pPr>
        <w:pStyle w:val="ConsPlusNormal"/>
        <w:ind w:firstLine="540"/>
        <w:jc w:val="both"/>
        <w:rPr>
          <w:rStyle w:val="Datenum"/>
          <w:rFonts w:eastAsia="Times New Roman" w:cs="Times New Roman"/>
          <w:sz w:val="28"/>
          <w:szCs w:val="28"/>
        </w:rPr>
      </w:pPr>
      <w:r w:rsidRPr="00E91FAF">
        <w:rPr>
          <w:rStyle w:val="Datenum"/>
          <w:rFonts w:eastAsia="Times New Roman" w:cs="Times New Roman"/>
          <w:sz w:val="28"/>
          <w:szCs w:val="28"/>
        </w:rPr>
        <w:t>«</w:t>
      </w:r>
      <w:bookmarkStart w:id="1" w:name="P199"/>
      <w:bookmarkEnd w:id="1"/>
      <w:r w:rsidRPr="00E91FAF">
        <w:rPr>
          <w:rStyle w:val="Datenum"/>
          <w:rFonts w:eastAsia="Times New Roman" w:cs="Times New Roman"/>
          <w:sz w:val="28"/>
          <w:szCs w:val="28"/>
        </w:rPr>
        <w:t>Коэффициенты зон месторасположения нестационарного торгового объекта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701"/>
      </w:tblGrid>
      <w:tr w:rsidR="00E91FAF" w:rsidRPr="005E3EC4" w:rsidTr="00E91FAF">
        <w:trPr>
          <w:trHeight w:val="857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E3EC4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Наименование улиц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Коэффициент месторасположения </w:t>
            </w:r>
          </w:p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(К мест)</w:t>
            </w:r>
          </w:p>
        </w:tc>
      </w:tr>
      <w:tr w:rsidR="00E91FAF" w:rsidRPr="005E3EC4" w:rsidTr="00E91FAF">
        <w:trPr>
          <w:trHeight w:val="89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2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АВТОЗАВОДСКИЙ РАЙОН</w:t>
            </w:r>
          </w:p>
        </w:tc>
      </w:tr>
      <w:tr w:rsidR="00E91FAF" w:rsidRPr="005E3EC4" w:rsidTr="00E91FAF">
        <w:trPr>
          <w:trHeight w:val="408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1.1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пр. Ленина, пересечение ул. Старых Производственников и ул. Южное шоссе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2,5</w:t>
            </w:r>
          </w:p>
        </w:tc>
      </w:tr>
      <w:tr w:rsidR="00E91FAF" w:rsidRPr="005E3EC4" w:rsidTr="00E91FAF">
        <w:trPr>
          <w:trHeight w:val="1299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1.2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пересечение улиц: пр. Ленина с пр. Молодежный; ул. Веденяпина, ул. Южное шоссе, ул. Лескова, пр. Бусыгина, пр. Молодежный, ул. Дьяконова, ул. Комсомольская, ул. Краснодонцев, ул. </w:t>
            </w:r>
            <w:proofErr w:type="spellStart"/>
            <w:r w:rsidRPr="005E3EC4">
              <w:rPr>
                <w:sz w:val="24"/>
                <w:szCs w:val="24"/>
              </w:rPr>
              <w:t>Советвской</w:t>
            </w:r>
            <w:proofErr w:type="spellEnd"/>
            <w:r w:rsidRPr="005E3EC4">
              <w:rPr>
                <w:sz w:val="24"/>
                <w:szCs w:val="24"/>
              </w:rPr>
              <w:t xml:space="preserve">  Армии, ул. Плотникова, ул. </w:t>
            </w:r>
            <w:proofErr w:type="spellStart"/>
            <w:r w:rsidRPr="005E3EC4">
              <w:rPr>
                <w:sz w:val="24"/>
                <w:szCs w:val="24"/>
              </w:rPr>
              <w:t>Политбойцов</w:t>
            </w:r>
            <w:proofErr w:type="spellEnd"/>
            <w:r w:rsidRPr="005E3EC4">
              <w:rPr>
                <w:sz w:val="24"/>
                <w:szCs w:val="24"/>
              </w:rPr>
              <w:t xml:space="preserve">, ул. Старых Производственников, ул. </w:t>
            </w:r>
            <w:proofErr w:type="spellStart"/>
            <w:r w:rsidRPr="005E3EC4">
              <w:rPr>
                <w:sz w:val="24"/>
                <w:szCs w:val="24"/>
              </w:rPr>
              <w:t>Прыгунова</w:t>
            </w:r>
            <w:proofErr w:type="spellEnd"/>
            <w:r w:rsidRPr="005E3EC4">
              <w:rPr>
                <w:sz w:val="24"/>
                <w:szCs w:val="24"/>
              </w:rPr>
              <w:t>, ул. Львовская, пр. Октября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2,0</w:t>
            </w:r>
          </w:p>
        </w:tc>
      </w:tr>
      <w:tr w:rsidR="00E91FAF" w:rsidRPr="005E3EC4" w:rsidTr="00E91FAF"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1.3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ул. </w:t>
            </w:r>
            <w:proofErr w:type="spellStart"/>
            <w:r w:rsidRPr="005E3EC4">
              <w:rPr>
                <w:sz w:val="24"/>
                <w:szCs w:val="24"/>
              </w:rPr>
              <w:t>Мончегорская</w:t>
            </w:r>
            <w:proofErr w:type="spellEnd"/>
            <w:r w:rsidRPr="005E3EC4">
              <w:rPr>
                <w:sz w:val="24"/>
                <w:szCs w:val="24"/>
              </w:rPr>
              <w:t xml:space="preserve">, ул. Янки Купалы, пер. Моторный, ул. Школьная, ул. Космическая, ул. </w:t>
            </w:r>
            <w:proofErr w:type="spellStart"/>
            <w:r w:rsidRPr="005E3EC4">
              <w:rPr>
                <w:sz w:val="24"/>
                <w:szCs w:val="24"/>
              </w:rPr>
              <w:t>Дружаева</w:t>
            </w:r>
            <w:proofErr w:type="spellEnd"/>
            <w:r w:rsidRPr="005E3EC4">
              <w:rPr>
                <w:sz w:val="24"/>
                <w:szCs w:val="24"/>
              </w:rPr>
              <w:t xml:space="preserve">, ул. Героя Юрия Смирнова, ул. Минеева, ул. </w:t>
            </w:r>
            <w:proofErr w:type="spellStart"/>
            <w:r w:rsidRPr="005E3EC4">
              <w:rPr>
                <w:sz w:val="24"/>
                <w:szCs w:val="24"/>
              </w:rPr>
              <w:t>Строкина</w:t>
            </w:r>
            <w:proofErr w:type="spellEnd"/>
            <w:r w:rsidRPr="005E3EC4">
              <w:rPr>
                <w:sz w:val="24"/>
                <w:szCs w:val="24"/>
              </w:rPr>
              <w:t xml:space="preserve">, ул. </w:t>
            </w:r>
            <w:proofErr w:type="spellStart"/>
            <w:r w:rsidRPr="005E3EC4">
              <w:rPr>
                <w:sz w:val="24"/>
                <w:szCs w:val="24"/>
              </w:rPr>
              <w:t>Юлиуса</w:t>
            </w:r>
            <w:proofErr w:type="spellEnd"/>
            <w:r w:rsidRPr="005E3EC4">
              <w:rPr>
                <w:sz w:val="24"/>
                <w:szCs w:val="24"/>
              </w:rPr>
              <w:t xml:space="preserve"> Фучика, ул. Парышева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1,5</w:t>
            </w:r>
          </w:p>
        </w:tc>
      </w:tr>
      <w:tr w:rsidR="00E91FAF" w:rsidRPr="005E3EC4" w:rsidTr="00E91FAF">
        <w:trPr>
          <w:trHeight w:val="316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781" w:type="dxa"/>
            <w:gridSpan w:val="2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КАНАВИНСКИЙ РАЙОН</w:t>
            </w:r>
          </w:p>
        </w:tc>
      </w:tr>
      <w:tr w:rsidR="00E91FAF" w:rsidRPr="005E3EC4" w:rsidTr="00E91FAF">
        <w:trPr>
          <w:trHeight w:val="180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2.1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E91FAF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пл. Революции, пересечение ул. </w:t>
            </w:r>
            <w:proofErr w:type="spellStart"/>
            <w:r w:rsidRPr="005E3EC4">
              <w:rPr>
                <w:sz w:val="24"/>
                <w:szCs w:val="24"/>
              </w:rPr>
              <w:t>Гордеевская</w:t>
            </w:r>
            <w:proofErr w:type="spellEnd"/>
            <w:r w:rsidRPr="005E3EC4">
              <w:rPr>
                <w:sz w:val="24"/>
                <w:szCs w:val="24"/>
              </w:rPr>
              <w:t xml:space="preserve"> с ул. Московское шоссе (у выхода из подземного перехода в районе конечной остановки трамваев № 6 и № 7), ул. Московское шоссе, у дома 9 (у выхода из тоннеля), ул. </w:t>
            </w:r>
            <w:proofErr w:type="spellStart"/>
            <w:r w:rsidRPr="005E3EC4">
              <w:rPr>
                <w:sz w:val="24"/>
                <w:szCs w:val="24"/>
              </w:rPr>
              <w:t>Фильченкова</w:t>
            </w:r>
            <w:proofErr w:type="spellEnd"/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2,5</w:t>
            </w:r>
          </w:p>
        </w:tc>
      </w:tr>
      <w:tr w:rsidR="00E91FAF" w:rsidRPr="005E3EC4" w:rsidTr="00E91FAF">
        <w:trPr>
          <w:trHeight w:val="654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2.2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E91FAF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территория, ограничивающая ул. Литвинова, ул. </w:t>
            </w:r>
            <w:proofErr w:type="spellStart"/>
            <w:r w:rsidRPr="005E3EC4">
              <w:rPr>
                <w:sz w:val="24"/>
                <w:szCs w:val="24"/>
              </w:rPr>
              <w:t>Канавинская</w:t>
            </w:r>
            <w:proofErr w:type="spellEnd"/>
            <w:r w:rsidRPr="005E3EC4">
              <w:rPr>
                <w:sz w:val="24"/>
                <w:szCs w:val="24"/>
              </w:rPr>
              <w:t xml:space="preserve">, ул. Луначарского, ул. Вокзальная, ул. </w:t>
            </w:r>
            <w:proofErr w:type="spellStart"/>
            <w:r w:rsidRPr="005E3EC4">
              <w:rPr>
                <w:sz w:val="24"/>
                <w:szCs w:val="24"/>
              </w:rPr>
              <w:t>Приокская</w:t>
            </w:r>
            <w:proofErr w:type="spellEnd"/>
            <w:r w:rsidRPr="005E3EC4">
              <w:rPr>
                <w:sz w:val="24"/>
                <w:szCs w:val="24"/>
              </w:rPr>
              <w:t>, ул. Карла Маркса, ул. Движенцев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2,0</w:t>
            </w:r>
          </w:p>
        </w:tc>
      </w:tr>
      <w:tr w:rsidR="00E91FAF" w:rsidRPr="005E3EC4" w:rsidTr="00E91FAF"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2.3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E91FAF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ул. Московское шоссе, ул. Есенина, ул. Тонкинская, ул. Зимина, ул. </w:t>
            </w:r>
            <w:proofErr w:type="spellStart"/>
            <w:r w:rsidRPr="005E3EC4">
              <w:rPr>
                <w:sz w:val="24"/>
                <w:szCs w:val="24"/>
              </w:rPr>
              <w:t>Гордеевская</w:t>
            </w:r>
            <w:proofErr w:type="spellEnd"/>
            <w:r w:rsidRPr="005E3EC4">
              <w:rPr>
                <w:sz w:val="24"/>
                <w:szCs w:val="24"/>
              </w:rPr>
              <w:t>, ул. Пролетарская, ул. Сергея Акимова, ул. Лесной городок, пер. Камчатский, ул. Советская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1,5</w:t>
            </w:r>
          </w:p>
        </w:tc>
      </w:tr>
      <w:tr w:rsidR="00E91FAF" w:rsidRPr="005E3EC4" w:rsidTr="00E91FAF">
        <w:trPr>
          <w:trHeight w:val="131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3.</w:t>
            </w:r>
          </w:p>
        </w:tc>
        <w:tc>
          <w:tcPr>
            <w:tcW w:w="9781" w:type="dxa"/>
            <w:gridSpan w:val="2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ЛЕНИНСКИЙ РАЙОН</w:t>
            </w:r>
          </w:p>
        </w:tc>
      </w:tr>
      <w:tr w:rsidR="00E91FAF" w:rsidRPr="005E3EC4" w:rsidTr="00E91FAF">
        <w:trPr>
          <w:trHeight w:val="459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3.1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пр. Ленина (в том числе в районе ст. метро «Пролетарская») включая проход к ул. </w:t>
            </w:r>
            <w:proofErr w:type="spellStart"/>
            <w:r w:rsidRPr="005E3EC4">
              <w:rPr>
                <w:sz w:val="24"/>
                <w:szCs w:val="24"/>
              </w:rPr>
              <w:t>Переходникова</w:t>
            </w:r>
            <w:proofErr w:type="spellEnd"/>
            <w:r w:rsidRPr="005E3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2,5</w:t>
            </w:r>
          </w:p>
        </w:tc>
      </w:tr>
      <w:tr w:rsidR="00E91FAF" w:rsidRPr="005E3EC4" w:rsidTr="00E91FAF">
        <w:trPr>
          <w:trHeight w:val="106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3.2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пл. Комсомольская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2,0</w:t>
            </w:r>
          </w:p>
        </w:tc>
      </w:tr>
      <w:tr w:rsidR="00E91FAF" w:rsidRPr="005E3EC4" w:rsidTr="00E91FAF"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3.3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ул. </w:t>
            </w:r>
            <w:proofErr w:type="spellStart"/>
            <w:r w:rsidRPr="005E3EC4">
              <w:rPr>
                <w:sz w:val="24"/>
                <w:szCs w:val="24"/>
              </w:rPr>
              <w:t>Памирская</w:t>
            </w:r>
            <w:proofErr w:type="spellEnd"/>
            <w:r w:rsidRPr="005E3EC4">
              <w:rPr>
                <w:sz w:val="24"/>
                <w:szCs w:val="24"/>
              </w:rPr>
              <w:t>, ул. Удмуртская, ул. Новикова Прибоя, ул. Октябрьской революции, бул. Заречный, ул. Баумана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1,5</w:t>
            </w:r>
          </w:p>
        </w:tc>
      </w:tr>
      <w:tr w:rsidR="00E91FAF" w:rsidRPr="005E3EC4" w:rsidTr="00E91FAF">
        <w:trPr>
          <w:trHeight w:val="211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3.4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ул. </w:t>
            </w:r>
            <w:proofErr w:type="spellStart"/>
            <w:r w:rsidRPr="005E3EC4">
              <w:rPr>
                <w:sz w:val="24"/>
                <w:szCs w:val="24"/>
              </w:rPr>
              <w:t>Гурьевская</w:t>
            </w:r>
            <w:proofErr w:type="spellEnd"/>
            <w:r w:rsidRPr="005E3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1,3</w:t>
            </w:r>
          </w:p>
        </w:tc>
      </w:tr>
      <w:tr w:rsidR="00E91FAF" w:rsidRPr="005E3EC4" w:rsidTr="00E91FAF">
        <w:trPr>
          <w:trHeight w:val="261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4.</w:t>
            </w:r>
          </w:p>
        </w:tc>
        <w:tc>
          <w:tcPr>
            <w:tcW w:w="9781" w:type="dxa"/>
            <w:gridSpan w:val="2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МОСКОВСКИЙ РАЙОН</w:t>
            </w:r>
          </w:p>
        </w:tc>
      </w:tr>
      <w:tr w:rsidR="00E91FAF" w:rsidRPr="005E3EC4" w:rsidTr="00E91FAF"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4.1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Московское шоссе, ул. Березовская в границах домов 81 и 83, </w:t>
            </w:r>
            <w:proofErr w:type="spellStart"/>
            <w:r w:rsidRPr="005E3EC4">
              <w:rPr>
                <w:sz w:val="24"/>
                <w:szCs w:val="24"/>
              </w:rPr>
              <w:t>Сормовское</w:t>
            </w:r>
            <w:proofErr w:type="spellEnd"/>
            <w:r w:rsidRPr="005E3EC4">
              <w:rPr>
                <w:sz w:val="24"/>
                <w:szCs w:val="24"/>
              </w:rPr>
              <w:t xml:space="preserve"> шоссе у д. 20, ул. Героя Рябцева, ул. Коминтерна,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1,5</w:t>
            </w:r>
          </w:p>
        </w:tc>
      </w:tr>
      <w:tr w:rsidR="00E91FAF" w:rsidRPr="005E3EC4" w:rsidTr="00E91FAF">
        <w:trPr>
          <w:trHeight w:val="520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4.2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ул. Народная, ул. Просвещенская, ул. Страж Революции, ул. Мечникова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1,3</w:t>
            </w:r>
          </w:p>
        </w:tc>
      </w:tr>
      <w:tr w:rsidR="00E91FAF" w:rsidRPr="005E3EC4" w:rsidTr="00E91FAF">
        <w:trPr>
          <w:trHeight w:val="115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5.</w:t>
            </w:r>
          </w:p>
        </w:tc>
        <w:tc>
          <w:tcPr>
            <w:tcW w:w="9781" w:type="dxa"/>
            <w:gridSpan w:val="2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НИЖЕГОРОДСКИЙ РАЙОН</w:t>
            </w:r>
          </w:p>
        </w:tc>
      </w:tr>
      <w:tr w:rsidR="00E91FAF" w:rsidRPr="005E3EC4" w:rsidTr="00E91FAF">
        <w:trPr>
          <w:trHeight w:val="1049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5.1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площадь Минина и Пожарского, площадь Театральная, площадь Маркина, ул. Рождественская, ул. Большая Покровская от д. 1 до д. 63 включительно (нечетная сторона) и от д. 2 до д. 56 включительно (четная сторона) 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3,0</w:t>
            </w:r>
          </w:p>
        </w:tc>
      </w:tr>
      <w:tr w:rsidR="00E91FAF" w:rsidRPr="005E3EC4" w:rsidTr="00E91FAF">
        <w:trPr>
          <w:trHeight w:val="1353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5.2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пл. Сенная, ул. Минина, ул. Ульянова, ул. Пискунова, ул. Алексеевская, ул. Октябрьская, ул. Верхне-Волжская набережная, ул. Большая Покровская, ул. Белинского, ул. Максима Горького от д. 1 до д. 149 включительно (нечетная сторона) и от д. 2 до 182 включительно (четная сторона)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2,5</w:t>
            </w:r>
          </w:p>
        </w:tc>
      </w:tr>
      <w:tr w:rsidR="00E91FAF" w:rsidRPr="005E3EC4" w:rsidTr="00E91FAF"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5.3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площадь Максима Горького, площадь Свободы, Казанское шоссе, ул. Родионова, ул. Костина, ул. Большая Печерская, ул. Варварская, ул. Нижне-Волжская набережная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2,0</w:t>
            </w:r>
          </w:p>
        </w:tc>
      </w:tr>
      <w:tr w:rsidR="00E91FAF" w:rsidRPr="005E3EC4" w:rsidTr="00E91FAF">
        <w:trPr>
          <w:trHeight w:val="830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5.4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Георгиевский съезд, ул. Ижорская, ул. Грузинская, ул. </w:t>
            </w:r>
            <w:proofErr w:type="spellStart"/>
            <w:r w:rsidRPr="005E3EC4">
              <w:rPr>
                <w:sz w:val="24"/>
                <w:szCs w:val="24"/>
              </w:rPr>
              <w:t>Ошарская</w:t>
            </w:r>
            <w:proofErr w:type="spellEnd"/>
            <w:r w:rsidRPr="005E3EC4">
              <w:rPr>
                <w:sz w:val="24"/>
                <w:szCs w:val="24"/>
              </w:rPr>
              <w:t xml:space="preserve"> от д. 1 до </w:t>
            </w:r>
            <w:r w:rsidRPr="005E3EC4">
              <w:rPr>
                <w:szCs w:val="22"/>
              </w:rPr>
              <w:t>д. 37 включительно (нечетная сторона) и от д. 2 до д. 50 включительно (четная сторона)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1,5</w:t>
            </w:r>
          </w:p>
        </w:tc>
      </w:tr>
      <w:tr w:rsidR="00E91FAF" w:rsidRPr="005E3EC4" w:rsidTr="00E91FAF">
        <w:trPr>
          <w:trHeight w:val="1508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ул. </w:t>
            </w:r>
            <w:proofErr w:type="spellStart"/>
            <w:r w:rsidRPr="005E3EC4">
              <w:rPr>
                <w:sz w:val="24"/>
                <w:szCs w:val="24"/>
              </w:rPr>
              <w:t>Звездинка</w:t>
            </w:r>
            <w:proofErr w:type="spellEnd"/>
            <w:r w:rsidRPr="005E3EC4">
              <w:rPr>
                <w:sz w:val="24"/>
                <w:szCs w:val="24"/>
              </w:rPr>
              <w:t xml:space="preserve">, ул. Малая Покровская, пер. Холодный, ул. Ильинская, ул. Добролюбова, ул. Семашко, ул. Маслякова, ул. Новая, ул. </w:t>
            </w:r>
            <w:proofErr w:type="spellStart"/>
            <w:r w:rsidRPr="005E3EC4">
              <w:rPr>
                <w:sz w:val="24"/>
                <w:szCs w:val="24"/>
              </w:rPr>
              <w:t>Усилова</w:t>
            </w:r>
            <w:proofErr w:type="spellEnd"/>
            <w:r w:rsidRPr="005E3EC4">
              <w:rPr>
                <w:sz w:val="24"/>
                <w:szCs w:val="24"/>
              </w:rPr>
              <w:t xml:space="preserve">, ул. Фруктовая, ул. Донецкая, ул. Германа Лопатина, ул. Касьянова, ул. Нестерова, ул. </w:t>
            </w:r>
            <w:proofErr w:type="spellStart"/>
            <w:r w:rsidRPr="005E3EC4">
              <w:rPr>
                <w:sz w:val="24"/>
                <w:szCs w:val="24"/>
              </w:rPr>
              <w:t>Ковалихинская</w:t>
            </w:r>
            <w:proofErr w:type="spellEnd"/>
            <w:r w:rsidRPr="005E3EC4">
              <w:rPr>
                <w:sz w:val="24"/>
                <w:szCs w:val="24"/>
              </w:rPr>
              <w:t>, ул. Максима Горького от д. 151 (нечетная сторона) и от д. 184 (четная сторона) до д. 262 включительно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1,3</w:t>
            </w:r>
          </w:p>
        </w:tc>
      </w:tr>
      <w:tr w:rsidR="00E91FAF" w:rsidRPr="005E3EC4" w:rsidTr="00E91FAF">
        <w:trPr>
          <w:trHeight w:val="180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6.</w:t>
            </w:r>
          </w:p>
        </w:tc>
        <w:tc>
          <w:tcPr>
            <w:tcW w:w="9781" w:type="dxa"/>
            <w:gridSpan w:val="2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ПРИОКСКИЙ РАЙОН</w:t>
            </w:r>
          </w:p>
        </w:tc>
      </w:tr>
      <w:tr w:rsidR="00E91FAF" w:rsidRPr="005E3EC4" w:rsidTr="00E91FAF"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6.1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пр. Гагарина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2,5</w:t>
            </w:r>
          </w:p>
        </w:tc>
      </w:tr>
      <w:tr w:rsidR="00E91FAF" w:rsidRPr="005E3EC4" w:rsidTr="00E91FAF"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6.2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пр. Академика Сахарова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1,5</w:t>
            </w:r>
          </w:p>
        </w:tc>
      </w:tr>
      <w:tr w:rsidR="00E91FAF" w:rsidRPr="005E3EC4" w:rsidTr="00E91FAF">
        <w:trPr>
          <w:trHeight w:val="342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6.3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ул. Медицинская, ул. Сурикова, ул. Крылова, ул. Ларина, </w:t>
            </w:r>
            <w:proofErr w:type="spellStart"/>
            <w:r w:rsidRPr="005E3EC4">
              <w:rPr>
                <w:sz w:val="24"/>
                <w:szCs w:val="24"/>
              </w:rPr>
              <w:t>мкр</w:t>
            </w:r>
            <w:proofErr w:type="spellEnd"/>
            <w:r w:rsidRPr="005E3EC4">
              <w:rPr>
                <w:sz w:val="24"/>
                <w:szCs w:val="24"/>
              </w:rPr>
              <w:t>. Щербинки-1  в границах домов 17, 19, 20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1,3</w:t>
            </w:r>
          </w:p>
        </w:tc>
      </w:tr>
      <w:tr w:rsidR="00E91FAF" w:rsidRPr="005E3EC4" w:rsidTr="00E91FAF">
        <w:trPr>
          <w:trHeight w:val="285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7.</w:t>
            </w:r>
          </w:p>
        </w:tc>
        <w:tc>
          <w:tcPr>
            <w:tcW w:w="9781" w:type="dxa"/>
            <w:gridSpan w:val="2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СОВЕТСКИЙ РАЙОН</w:t>
            </w:r>
          </w:p>
        </w:tc>
      </w:tr>
      <w:tr w:rsidR="00E91FAF" w:rsidRPr="005E3EC4" w:rsidTr="00E91FAF">
        <w:trPr>
          <w:trHeight w:val="446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7.1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пр. Гагарина, ул. Ванеева, ул. Белинского, пл. Советская, площадь </w:t>
            </w:r>
            <w:proofErr w:type="spellStart"/>
            <w:r w:rsidRPr="005E3EC4">
              <w:rPr>
                <w:sz w:val="24"/>
                <w:szCs w:val="24"/>
              </w:rPr>
              <w:t>Лядова</w:t>
            </w:r>
            <w:proofErr w:type="spellEnd"/>
            <w:r w:rsidRPr="005E3EC4">
              <w:rPr>
                <w:sz w:val="24"/>
                <w:szCs w:val="24"/>
              </w:rPr>
              <w:t>, ул. Полтавская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2,5</w:t>
            </w:r>
          </w:p>
        </w:tc>
      </w:tr>
      <w:tr w:rsidR="00E91FAF" w:rsidRPr="005E3EC4" w:rsidTr="00E91FAF">
        <w:trPr>
          <w:trHeight w:val="119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7.2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ул. Бекетова, ул. Маршала Рокоссовского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2,0</w:t>
            </w:r>
          </w:p>
        </w:tc>
      </w:tr>
      <w:tr w:rsidR="00E91FAF" w:rsidRPr="005E3EC4" w:rsidTr="00E91FAF">
        <w:trPr>
          <w:trHeight w:val="1161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7.3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ул. Ижорская, ул. </w:t>
            </w:r>
            <w:proofErr w:type="spellStart"/>
            <w:r w:rsidRPr="005E3EC4">
              <w:rPr>
                <w:sz w:val="24"/>
                <w:szCs w:val="24"/>
              </w:rPr>
              <w:t>Ошарская</w:t>
            </w:r>
            <w:proofErr w:type="spellEnd"/>
            <w:r w:rsidRPr="005E3EC4">
              <w:rPr>
                <w:sz w:val="24"/>
                <w:szCs w:val="24"/>
              </w:rPr>
              <w:t xml:space="preserve">, ул. Генерала </w:t>
            </w:r>
            <w:proofErr w:type="spellStart"/>
            <w:r w:rsidRPr="005E3EC4">
              <w:rPr>
                <w:sz w:val="24"/>
                <w:szCs w:val="24"/>
              </w:rPr>
              <w:t>Ивлиева</w:t>
            </w:r>
            <w:proofErr w:type="spellEnd"/>
            <w:r w:rsidRPr="005E3EC4">
              <w:rPr>
                <w:sz w:val="24"/>
                <w:szCs w:val="24"/>
              </w:rPr>
              <w:t>, ул. Богородского, ул. Республиканская, ул. Генкиной, ул. Надежды  Сусловой, ул. Нартова, ул. Бориса Корнилова, ул. Маршала Малиновского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1,5</w:t>
            </w:r>
          </w:p>
        </w:tc>
      </w:tr>
      <w:tr w:rsidR="00E91FAF" w:rsidRPr="005E3EC4" w:rsidTr="00E91FAF"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7.4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ул. Козицкого, ул. Медицинская, ул. </w:t>
            </w:r>
            <w:proofErr w:type="spellStart"/>
            <w:r w:rsidRPr="005E3EC4">
              <w:rPr>
                <w:sz w:val="24"/>
                <w:szCs w:val="24"/>
              </w:rPr>
              <w:t>Невзоровых</w:t>
            </w:r>
            <w:proofErr w:type="spellEnd"/>
            <w:r w:rsidRPr="005E3EC4">
              <w:rPr>
                <w:sz w:val="24"/>
                <w:szCs w:val="24"/>
              </w:rPr>
              <w:t xml:space="preserve">, ул. Кулибина, ул. Вячеслава Шишкова, ул. Тунгусская, ул. Тимирязева, 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1,3</w:t>
            </w:r>
          </w:p>
        </w:tc>
      </w:tr>
      <w:tr w:rsidR="00E91FAF" w:rsidRPr="005E3EC4" w:rsidTr="00E91FAF">
        <w:trPr>
          <w:trHeight w:val="128"/>
        </w:trPr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8.</w:t>
            </w:r>
          </w:p>
        </w:tc>
        <w:tc>
          <w:tcPr>
            <w:tcW w:w="9781" w:type="dxa"/>
            <w:gridSpan w:val="2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СОРМОВСКИЙ РАЙОН</w:t>
            </w:r>
          </w:p>
        </w:tc>
      </w:tr>
      <w:tr w:rsidR="00E91FAF" w:rsidRPr="005E3EC4" w:rsidTr="00E91FAF"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8.1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E91FAF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ул. Коминтерна (в границах домов 115, 117, 168, 166); в границах улиц: Коминтерна 168, 166 и ул. Ефремова у д. 4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2,5</w:t>
            </w:r>
          </w:p>
        </w:tc>
      </w:tr>
      <w:tr w:rsidR="00E91FAF" w:rsidRPr="005E3EC4" w:rsidTr="00E91FAF"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8.2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ул. Коминтерна, ул. Ефремова, ул. Культуры, пр. Кораблестроителей,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1,5</w:t>
            </w:r>
          </w:p>
        </w:tc>
      </w:tr>
      <w:tr w:rsidR="00E91FAF" w:rsidRPr="005E3EC4" w:rsidTr="00E91FAF"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8.3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ул. Планетная, ул. Дубравная, ул. Ясная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1,3</w:t>
            </w:r>
          </w:p>
        </w:tc>
      </w:tr>
      <w:tr w:rsidR="00E91FAF" w:rsidRPr="005E3EC4" w:rsidTr="00E91FAF">
        <w:tc>
          <w:tcPr>
            <w:tcW w:w="567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9.</w:t>
            </w:r>
          </w:p>
        </w:tc>
        <w:tc>
          <w:tcPr>
            <w:tcW w:w="8080" w:type="dxa"/>
            <w:vAlign w:val="center"/>
          </w:tcPr>
          <w:p w:rsidR="00E91FAF" w:rsidRPr="005E3EC4" w:rsidRDefault="00E91FAF" w:rsidP="00310717">
            <w:pPr>
              <w:pStyle w:val="ConsPlusNormal"/>
              <w:jc w:val="both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 xml:space="preserve">Другие улицы районов города Нижнего Новгорода </w:t>
            </w:r>
          </w:p>
        </w:tc>
        <w:tc>
          <w:tcPr>
            <w:tcW w:w="1701" w:type="dxa"/>
            <w:vAlign w:val="center"/>
          </w:tcPr>
          <w:p w:rsidR="00E91FAF" w:rsidRPr="005E3EC4" w:rsidRDefault="00E91FAF" w:rsidP="0031071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3EC4">
              <w:rPr>
                <w:sz w:val="24"/>
                <w:szCs w:val="24"/>
              </w:rPr>
              <w:t>1,0</w:t>
            </w:r>
          </w:p>
        </w:tc>
      </w:tr>
    </w:tbl>
    <w:p w:rsidR="00712693" w:rsidRDefault="00712693" w:rsidP="00E91FAF">
      <w:pPr>
        <w:pStyle w:val="ConsPlusNormal"/>
        <w:ind w:firstLine="539"/>
        <w:jc w:val="both"/>
        <w:rPr>
          <w:sz w:val="28"/>
          <w:szCs w:val="28"/>
        </w:rPr>
      </w:pPr>
    </w:p>
    <w:p w:rsidR="00E91FAF" w:rsidRPr="00E91FAF" w:rsidRDefault="00E91FAF" w:rsidP="00E91FAF">
      <w:pPr>
        <w:pStyle w:val="ConsPlusNormal"/>
        <w:ind w:firstLine="539"/>
        <w:jc w:val="both"/>
        <w:rPr>
          <w:rStyle w:val="Datenum"/>
          <w:sz w:val="28"/>
          <w:szCs w:val="28"/>
        </w:rPr>
      </w:pPr>
      <w:r w:rsidRPr="00E91FAF">
        <w:rPr>
          <w:sz w:val="28"/>
          <w:szCs w:val="28"/>
        </w:rPr>
        <w:t>&lt;*&gt; Если объект расположен на расстоянии менее 50 метров от улицы с большим значением коэффициента, то применяется наибольшее значение.</w:t>
      </w:r>
      <w:r w:rsidRPr="00E91FAF">
        <w:rPr>
          <w:rStyle w:val="Datenum"/>
          <w:sz w:val="28"/>
          <w:szCs w:val="28"/>
        </w:rPr>
        <w:t>»</w:t>
      </w:r>
      <w:r>
        <w:rPr>
          <w:rStyle w:val="Datenum"/>
          <w:sz w:val="28"/>
          <w:szCs w:val="28"/>
        </w:rPr>
        <w:t>.</w:t>
      </w:r>
    </w:p>
    <w:p w:rsidR="00E91FAF" w:rsidRPr="00E91FAF" w:rsidRDefault="00E91FAF" w:rsidP="00E91FAF">
      <w:pPr>
        <w:autoSpaceDE w:val="0"/>
        <w:autoSpaceDN w:val="0"/>
        <w:adjustRightInd w:val="0"/>
        <w:ind w:firstLine="539"/>
        <w:jc w:val="both"/>
        <w:rPr>
          <w:rStyle w:val="Datenum"/>
          <w:rFonts w:ascii="Calibri" w:hAnsi="Calibri"/>
          <w:sz w:val="28"/>
          <w:szCs w:val="28"/>
        </w:rPr>
      </w:pPr>
      <w:r w:rsidRPr="00E91FAF">
        <w:rPr>
          <w:rStyle w:val="Datenum"/>
          <w:rFonts w:ascii="Calibri" w:hAnsi="Calibri"/>
          <w:sz w:val="28"/>
          <w:szCs w:val="28"/>
        </w:rPr>
        <w:t>2. Управлению по связям со СМИ администрации города Нижнего Новгорода (Квашнина Н.М.)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E91FAF" w:rsidRDefault="00E91FAF" w:rsidP="00E91FAF">
      <w:pPr>
        <w:autoSpaceDE w:val="0"/>
        <w:autoSpaceDN w:val="0"/>
        <w:adjustRightInd w:val="0"/>
        <w:ind w:firstLine="539"/>
        <w:jc w:val="both"/>
        <w:rPr>
          <w:rStyle w:val="Datenum"/>
          <w:rFonts w:ascii="Calibri" w:hAnsi="Calibri"/>
          <w:sz w:val="28"/>
          <w:szCs w:val="28"/>
        </w:rPr>
      </w:pPr>
      <w:r w:rsidRPr="00E91FAF">
        <w:rPr>
          <w:rStyle w:val="Datenum"/>
          <w:rFonts w:ascii="Calibri" w:hAnsi="Calibri"/>
          <w:sz w:val="28"/>
          <w:szCs w:val="28"/>
        </w:rP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E91FAF" w:rsidRPr="00E91FAF" w:rsidRDefault="00E91FAF" w:rsidP="00E91FAF">
      <w:pPr>
        <w:autoSpaceDE w:val="0"/>
        <w:autoSpaceDN w:val="0"/>
        <w:adjustRightInd w:val="0"/>
        <w:ind w:firstLine="539"/>
        <w:jc w:val="both"/>
        <w:rPr>
          <w:rStyle w:val="Datenum"/>
          <w:rFonts w:ascii="Calibri" w:hAnsi="Calibri"/>
          <w:sz w:val="28"/>
          <w:szCs w:val="28"/>
        </w:rPr>
      </w:pPr>
    </w:p>
    <w:p w:rsidR="00E91FAF" w:rsidRPr="00E91FAF" w:rsidRDefault="00E91FAF" w:rsidP="00E91FAF">
      <w:pPr>
        <w:autoSpaceDE w:val="0"/>
        <w:autoSpaceDN w:val="0"/>
        <w:adjustRightInd w:val="0"/>
        <w:ind w:firstLine="539"/>
        <w:jc w:val="both"/>
        <w:rPr>
          <w:rStyle w:val="Datenum"/>
          <w:rFonts w:ascii="Calibri" w:hAnsi="Calibri"/>
          <w:sz w:val="28"/>
          <w:szCs w:val="28"/>
        </w:rPr>
      </w:pPr>
      <w:r w:rsidRPr="00E91FAF">
        <w:rPr>
          <w:rStyle w:val="Datenum"/>
          <w:rFonts w:ascii="Calibri" w:hAnsi="Calibri"/>
          <w:sz w:val="28"/>
          <w:szCs w:val="28"/>
        </w:rPr>
        <w:lastRenderedPageBreak/>
        <w:t>4. Контроль за исполнением постановления возложить на первого заместителя главы администрации города Нижнего Новгорода Казачкову Н.В.</w:t>
      </w:r>
    </w:p>
    <w:p w:rsidR="00E91FAF" w:rsidRDefault="00E91FAF" w:rsidP="00E91FAF">
      <w:pPr>
        <w:pStyle w:val="ConsPlusNormal"/>
        <w:jc w:val="both"/>
        <w:rPr>
          <w:rFonts w:cs="Times New Roman"/>
          <w:sz w:val="28"/>
          <w:szCs w:val="28"/>
        </w:rPr>
      </w:pPr>
    </w:p>
    <w:p w:rsidR="00E91FAF" w:rsidRPr="00E91FAF" w:rsidRDefault="00E91FAF" w:rsidP="00E91FAF">
      <w:pPr>
        <w:pStyle w:val="ConsPlusNormal"/>
        <w:jc w:val="both"/>
        <w:rPr>
          <w:rFonts w:cs="Times New Roman"/>
          <w:sz w:val="28"/>
          <w:szCs w:val="28"/>
        </w:rPr>
      </w:pPr>
    </w:p>
    <w:p w:rsidR="00E91FAF" w:rsidRPr="00E91FAF" w:rsidRDefault="00E91FAF" w:rsidP="00E91FAF">
      <w:pPr>
        <w:pStyle w:val="ConsPlusNormal"/>
        <w:spacing w:before="220"/>
        <w:jc w:val="both"/>
        <w:rPr>
          <w:rFonts w:cs="Times New Roman"/>
          <w:sz w:val="28"/>
          <w:szCs w:val="28"/>
        </w:rPr>
      </w:pPr>
      <w:r w:rsidRPr="00E91FAF">
        <w:rPr>
          <w:rFonts w:cs="Times New Roman"/>
          <w:sz w:val="28"/>
          <w:szCs w:val="28"/>
        </w:rPr>
        <w:t xml:space="preserve">Глава города                                                                                                                       </w:t>
      </w:r>
      <w:proofErr w:type="spellStart"/>
      <w:r w:rsidRPr="00E91FAF">
        <w:rPr>
          <w:rFonts w:cs="Times New Roman"/>
          <w:sz w:val="28"/>
          <w:szCs w:val="28"/>
        </w:rPr>
        <w:t>В.А.Панов</w:t>
      </w:r>
      <w:proofErr w:type="spellEnd"/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Pr="00E91FAF" w:rsidRDefault="00E91FAF" w:rsidP="00E91FAF">
      <w:pPr>
        <w:pStyle w:val="ConsPlusNormal"/>
        <w:jc w:val="both"/>
        <w:rPr>
          <w:sz w:val="28"/>
          <w:szCs w:val="28"/>
        </w:rPr>
      </w:pPr>
    </w:p>
    <w:p w:rsidR="00E91FAF" w:rsidRPr="00E91FAF" w:rsidRDefault="00E91FAF" w:rsidP="00E91FAF">
      <w:pPr>
        <w:pStyle w:val="ConsPlusNormal"/>
        <w:jc w:val="both"/>
        <w:rPr>
          <w:sz w:val="28"/>
          <w:szCs w:val="28"/>
        </w:rPr>
      </w:pPr>
      <w:proofErr w:type="spellStart"/>
      <w:r w:rsidRPr="00E91FAF">
        <w:rPr>
          <w:sz w:val="28"/>
          <w:szCs w:val="28"/>
        </w:rPr>
        <w:t>А.В.Моисеенко</w:t>
      </w:r>
      <w:proofErr w:type="spellEnd"/>
    </w:p>
    <w:p w:rsidR="00E91FAF" w:rsidRPr="00E91FAF" w:rsidRDefault="00E91FAF" w:rsidP="00E91F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419 69 </w:t>
      </w:r>
      <w:r w:rsidRPr="00E91FAF">
        <w:rPr>
          <w:sz w:val="28"/>
          <w:szCs w:val="28"/>
        </w:rPr>
        <w:t>76</w:t>
      </w:r>
    </w:p>
    <w:sectPr w:rsidR="00E91FAF" w:rsidRPr="00E91FAF" w:rsidSect="00E91FAF">
      <w:headerReference w:type="default" r:id="rId10"/>
      <w:footerReference w:type="default" r:id="rId11"/>
      <w:type w:val="continuous"/>
      <w:pgSz w:w="11907" w:h="16834" w:code="9"/>
      <w:pgMar w:top="851" w:right="567" w:bottom="709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F8" w:rsidRDefault="003A6DF8" w:rsidP="009705F0">
      <w:r>
        <w:separator/>
      </w:r>
    </w:p>
  </w:endnote>
  <w:endnote w:type="continuationSeparator" w:id="0">
    <w:p w:rsidR="003A6DF8" w:rsidRDefault="003A6DF8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F8" w:rsidRDefault="003A6DF8" w:rsidP="009705F0">
      <w:r>
        <w:separator/>
      </w:r>
    </w:p>
  </w:footnote>
  <w:footnote w:type="continuationSeparator" w:id="0">
    <w:p w:rsidR="003A6DF8" w:rsidRDefault="003A6DF8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88306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75430C" w:rsidRPr="00E91FAF" w:rsidRDefault="0075430C">
        <w:pPr>
          <w:pStyle w:val="ab"/>
          <w:jc w:val="center"/>
          <w:rPr>
            <w:rFonts w:asciiTheme="minorHAnsi" w:hAnsiTheme="minorHAnsi"/>
          </w:rPr>
        </w:pPr>
        <w:r w:rsidRPr="00E91FAF">
          <w:rPr>
            <w:rFonts w:asciiTheme="minorHAnsi" w:hAnsiTheme="minorHAnsi"/>
            <w:sz w:val="28"/>
            <w:szCs w:val="28"/>
          </w:rPr>
          <w:fldChar w:fldCharType="begin"/>
        </w:r>
        <w:r w:rsidRPr="00E91FAF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E91FAF">
          <w:rPr>
            <w:rFonts w:asciiTheme="minorHAnsi" w:hAnsiTheme="minorHAnsi"/>
            <w:sz w:val="28"/>
            <w:szCs w:val="28"/>
          </w:rPr>
          <w:fldChar w:fldCharType="separate"/>
        </w:r>
        <w:r w:rsidR="00F738D3">
          <w:rPr>
            <w:rFonts w:asciiTheme="minorHAnsi" w:hAnsiTheme="minorHAnsi"/>
            <w:noProof/>
            <w:sz w:val="28"/>
            <w:szCs w:val="28"/>
          </w:rPr>
          <w:t>4</w:t>
        </w:r>
        <w:r w:rsidRPr="00E91FAF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141D63"/>
    <w:rsid w:val="002022F0"/>
    <w:rsid w:val="00325DBF"/>
    <w:rsid w:val="00330F9D"/>
    <w:rsid w:val="00345E8E"/>
    <w:rsid w:val="003469F8"/>
    <w:rsid w:val="003518C0"/>
    <w:rsid w:val="003A6DF8"/>
    <w:rsid w:val="004328F6"/>
    <w:rsid w:val="00454A78"/>
    <w:rsid w:val="0046450A"/>
    <w:rsid w:val="00510562"/>
    <w:rsid w:val="005262CC"/>
    <w:rsid w:val="006115C7"/>
    <w:rsid w:val="00712693"/>
    <w:rsid w:val="0074540D"/>
    <w:rsid w:val="0075430C"/>
    <w:rsid w:val="00782EB1"/>
    <w:rsid w:val="009705F0"/>
    <w:rsid w:val="009D3DD0"/>
    <w:rsid w:val="00AB0B86"/>
    <w:rsid w:val="00AF51C9"/>
    <w:rsid w:val="00B0589C"/>
    <w:rsid w:val="00B20833"/>
    <w:rsid w:val="00B542D9"/>
    <w:rsid w:val="00BA2307"/>
    <w:rsid w:val="00CF05B8"/>
    <w:rsid w:val="00E54E50"/>
    <w:rsid w:val="00E91FAF"/>
    <w:rsid w:val="00F738D3"/>
    <w:rsid w:val="00F9301B"/>
    <w:rsid w:val="00FB01F0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BEAF9"/>
  <w15:chartTrackingRefBased/>
  <w15:docId w15:val="{8745A05C-E803-4FC0-A797-A23BF5B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customStyle="1" w:styleId="ConsPlusNormal">
    <w:name w:val="ConsPlusNormal"/>
    <w:rsid w:val="00E91FA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F383B93ABD5FC102386AAA18F52435ECE405CDC00EC662ACABDA4E08D45F60F805F437ED292FC4159188C010FDC0BDEF27D12DCE0340D9Dc9X2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8F383B93ABD5FC102386AAA18F52435ECE405CDC0FEA6526CFBDA4E08D45F60F805F437ED292F9445B12DE5840DD579BA06E13DDE0360B8299C809c3XC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8"/>
    <w:rsid w:val="00466111"/>
    <w:rsid w:val="005355FD"/>
    <w:rsid w:val="005D5CD8"/>
    <w:rsid w:val="00660913"/>
    <w:rsid w:val="007612E4"/>
    <w:rsid w:val="008B1471"/>
    <w:rsid w:val="00975EEE"/>
    <w:rsid w:val="00A973C7"/>
    <w:rsid w:val="00B91AA0"/>
    <w:rsid w:val="00D03E62"/>
    <w:rsid w:val="00D7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Малыгина Елена Олеговна</cp:lastModifiedBy>
  <cp:revision>5</cp:revision>
  <cp:lastPrinted>2019-12-25T10:44:00Z</cp:lastPrinted>
  <dcterms:created xsi:type="dcterms:W3CDTF">2019-03-29T06:37:00Z</dcterms:created>
  <dcterms:modified xsi:type="dcterms:W3CDTF">2019-12-25T10:45:00Z</dcterms:modified>
</cp:coreProperties>
</file>