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об оценке</w:t>
      </w:r>
      <w:r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 xml:space="preserve">муниципального нормативного правового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Уполномоченный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Регулирующий орган: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 </w:t>
      </w:r>
      <w:r>
        <w:rPr>
          <w:bCs/>
          <w:sz w:val="28"/>
          <w:szCs w:val="28"/>
        </w:rPr>
        <w:t xml:space="preserve">развития предпринимательства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города Нижнего Новгорода</w:t>
      </w:r>
      <w:r>
        <w:rPr>
          <w:rStyle w:val="836"/>
          <w:rFonts w:ascii="Times New Roman" w:hAnsi="Times New Roman" w:cs="Times New Roman"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  <w:u w:val="single"/>
        </w:rPr>
        <w:t xml:space="preserve">Наименование </w:t>
      </w:r>
      <w:r>
        <w:rPr>
          <w:sz w:val="28"/>
          <w:szCs w:val="28"/>
          <w:u w:val="single"/>
        </w:rPr>
        <w:t xml:space="preserve">регулирующего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 xml:space="preserve">постановления администрации</w:t>
      </w:r>
      <w:r>
        <w:rPr>
          <w:color w:val="000000"/>
          <w:sz w:val="28"/>
          <w:szCs w:val="28"/>
        </w:rPr>
        <w:t xml:space="preserve"> города Нижнего Новгорода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О порядке отведения мест </w:t>
      </w:r>
      <w:r/>
      <w:r>
        <w:rPr>
          <w:sz w:val="28"/>
          <w:szCs w:val="28"/>
        </w:rPr>
        <w:t xml:space="preserve">осуществления разносной торговли на территории муниципального образования</w:t>
      </w:r>
      <w: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городской округ город Нижний Новгород</w:t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 процедурам оценки: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Выводы: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Оценка регулирующего </w:t>
      </w:r>
      <w:r>
        <w:rPr>
          <w:sz w:val="28"/>
          <w:szCs w:val="28"/>
        </w:rPr>
        <w:t xml:space="preserve">воздействия </w:t>
      </w:r>
      <w:r>
        <w:rPr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 xml:space="preserve">постановления администрации города Нижнего</w:t>
      </w:r>
      <w:r>
        <w:rPr>
          <w:color w:val="000000"/>
          <w:sz w:val="28"/>
          <w:szCs w:val="28"/>
        </w:rPr>
        <w:t xml:space="preserve"> Новгорода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О порядке отведения мест </w:t>
      </w:r>
      <w:r/>
      <w:r>
        <w:rPr>
          <w:sz w:val="28"/>
          <w:szCs w:val="28"/>
        </w:rPr>
        <w:t xml:space="preserve">осуществления разносной торговли на территории муниципального образования</w:t>
      </w:r>
      <w: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городской округ город Нижний Новгород</w:t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от </w:t>
      </w:r>
      <w:r>
        <w:rPr>
          <w:sz w:val="28"/>
          <w:szCs w:val="28"/>
        </w:rPr>
        <w:t xml:space="preserve">23.10.2025 </w:t>
      </w:r>
      <w:r>
        <w:rPr>
          <w:sz w:val="28"/>
          <w:szCs w:val="28"/>
        </w:rPr>
        <w:t xml:space="preserve">№ 13576</w:t>
      </w:r>
      <w:r>
        <w:rPr>
          <w:sz w:val="28"/>
          <w:szCs w:val="28"/>
        </w:rPr>
        <w:t xml:space="preserve">. Пояснительная записка к проекту составлена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2.1.1 вышеназванного Порядка. 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Зуйкова Юлия Александровна, начальник </w:t>
      </w:r>
      <w:r>
        <w:rPr>
          <w:sz w:val="28"/>
          <w:szCs w:val="28"/>
        </w:rPr>
        <w:t xml:space="preserve">отдела бюджетного планирования и финансового обеспечения </w:t>
      </w:r>
      <w:r>
        <w:rPr>
          <w:sz w:val="28"/>
          <w:szCs w:val="28"/>
        </w:rPr>
        <w:t xml:space="preserve">департамента экономического развития и инвестиций администрации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467 10 26 (5070).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 xml:space="preserve">zuikova@admgor.nnov.ru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Начальник отдела бюджетного планирования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финансового обеспечения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и инвестиций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      </w:t>
        <w:tab/>
        <w:tab/>
        <w:tab/>
        <w:tab/>
        <w:t xml:space="preserve">         Ю.А.Зуйкова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709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42</cp:revision>
  <dcterms:created xsi:type="dcterms:W3CDTF">2020-08-21T11:49:00Z</dcterms:created>
  <dcterms:modified xsi:type="dcterms:W3CDTF">2026-04-10T13:05:53Z</dcterms:modified>
</cp:coreProperties>
</file>