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8D7F93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27.02.2026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8D7F93">
                  <w:rPr>
                    <w:rStyle w:val="Datenum"/>
                    <w:sz w:val="28"/>
                    <w:szCs w:val="28"/>
                    <w:lang w:val="en-US"/>
                  </w:rPr>
                  <w:t>1606</w:t>
                </w:r>
              </w:sdtContent>
            </w:sdt>
          </w:p>
        </w:tc>
      </w:tr>
    </w:tbl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136FAB">
        <w:tc>
          <w:tcPr>
            <w:tcW w:w="284" w:type="dxa"/>
          </w:tcPr>
          <w:p w:rsidR="00BB3A20" w:rsidRPr="007179D0" w:rsidRDefault="00BB3A20" w:rsidP="00136FAB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136FAB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136FAB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136FAB">
        <w:tc>
          <w:tcPr>
            <w:tcW w:w="4962" w:type="dxa"/>
            <w:gridSpan w:val="3"/>
          </w:tcPr>
          <w:p w:rsidR="00BB3A20" w:rsidRPr="007179D0" w:rsidRDefault="008D7F93" w:rsidP="00136FAB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>
                  <w:rPr>
                    <w:rStyle w:val="Datenum"/>
                    <w:b/>
                    <w:sz w:val="28"/>
                    <w:szCs w:val="28"/>
                  </w:rPr>
                  <w:t xml:space="preserve">Об утверждении  положения о департаменте жилья и инженерной инфраструктуры администрации города Нижнего Новгорода </w:t>
                </w:r>
              </w:sdtContent>
            </w:sdt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136FAB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136FAB">
      <w:pPr>
        <w:ind w:firstLine="567"/>
        <w:rPr>
          <w:sz w:val="28"/>
          <w:szCs w:val="28"/>
        </w:rPr>
      </w:pP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В соответствии со статьей 48 Федерального закона от 06.10.2003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статьями 50, 64, 72 Устава муниципального образования городской округ город Нижний Новгород, решением городской Думы города Нижнего Новгорода от 29.09.2025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 xml:space="preserve">13 «О структуре администрации города Нижнего Новгорода» администрация города Нижнего Новгорода </w:t>
      </w:r>
      <w:r w:rsidRPr="00136FAB">
        <w:rPr>
          <w:b/>
          <w:color w:val="000000"/>
          <w:spacing w:val="20"/>
          <w:sz w:val="28"/>
          <w:szCs w:val="28"/>
        </w:rPr>
        <w:t>постановляет: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1. Утвердить Положение о департаменте жилья и инженерной инфраструктуры администрации города Нижнего Новгорода.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2. Отменить следующие постановления администрации города Нижнего Новгорода: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от 03.09.2018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2294 «Об утверждении Положения о департаменте жилья и инженерной инфраструктуры администрации города Нижнего Новгорода»;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от 30.09.2019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3386 «О внесении изменений в постановление администрации города Нижнего Новгорода от 03.09.2018 №2294»;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от 22.02.2022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711 «О внесении изменений в постановление администрации города Нижнего Новгорода от 03.09.2018 №2294»;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от 05.05.2022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1941 «Об утверждении Положения о департаменте жилья и инженерной инфраструктуры администрации города Нижнего Новгорода»;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lastRenderedPageBreak/>
        <w:t>от 21.03.2023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1515 «О внесении изменений в постановление администрации города Нижнего Новгорода от 05.05.2022 №1941»;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от 25.04.2024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2707 «О внесении изменений в постановление администрации города Нижнего Новгорода от 05.05.2022 №1941»;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от 21.05.2024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3500 «О внесении изменений в постановление администрации города Нижнего Новгорода от 05.05.2022 №1941»;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от 20.06.2024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4671 «О внесении изменений в постановление администрации города Нижнего Новгорода от 05.05.2022 №1941»;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6FAB">
        <w:rPr>
          <w:color w:val="000000"/>
          <w:sz w:val="28"/>
          <w:szCs w:val="28"/>
        </w:rPr>
        <w:t>от 02.08.2024 №</w:t>
      </w:r>
      <w:r>
        <w:rPr>
          <w:color w:val="000000"/>
          <w:sz w:val="28"/>
          <w:szCs w:val="28"/>
        </w:rPr>
        <w:t xml:space="preserve"> </w:t>
      </w:r>
      <w:r w:rsidRPr="00136FAB">
        <w:rPr>
          <w:color w:val="000000"/>
          <w:sz w:val="28"/>
          <w:szCs w:val="28"/>
        </w:rPr>
        <w:t>6232 «О внесении изменений в постановление администрации города Нижнего Новгорода от 05.05.2022 №1941».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sz w:val="28"/>
          <w:szCs w:val="28"/>
        </w:rPr>
      </w:pPr>
      <w:r w:rsidRPr="00136FAB">
        <w:rPr>
          <w:sz w:val="28"/>
          <w:szCs w:val="28"/>
        </w:rPr>
        <w:t xml:space="preserve">3. </w:t>
      </w:r>
      <w:r w:rsidRPr="00136FAB">
        <w:rPr>
          <w:color w:val="000000"/>
          <w:sz w:val="28"/>
        </w:rPr>
        <w:t xml:space="preserve">Департаменту информационной политики администрации города Нижнего Новгорода (Зудина М.В.) обеспечить опубликование постановления в официальном печатном средстве массовой информации – газете «День города. Нижний Новгород» и «Маяк+». </w:t>
      </w:r>
    </w:p>
    <w:p w:rsidR="00136FAB" w:rsidRPr="00136FAB" w:rsidRDefault="00136FAB" w:rsidP="00136FAB">
      <w:pPr>
        <w:spacing w:line="360" w:lineRule="auto"/>
        <w:ind w:firstLine="708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 Юридическому департаменту администрации города Нижнего Новгорода (</w:t>
      </w:r>
      <w:proofErr w:type="spellStart"/>
      <w:r w:rsidRPr="00136FAB">
        <w:rPr>
          <w:sz w:val="28"/>
          <w:szCs w:val="28"/>
        </w:rPr>
        <w:t>Витушкина</w:t>
      </w:r>
      <w:proofErr w:type="spellEnd"/>
      <w:r w:rsidRPr="00136FAB"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136FAB" w:rsidRPr="00136FAB" w:rsidRDefault="00136FAB" w:rsidP="00136FAB">
      <w:pPr>
        <w:ind w:firstLine="720"/>
        <w:jc w:val="both"/>
        <w:rPr>
          <w:sz w:val="28"/>
          <w:szCs w:val="28"/>
        </w:rPr>
      </w:pPr>
    </w:p>
    <w:p w:rsidR="00136FAB" w:rsidRPr="00136FAB" w:rsidRDefault="00136FAB" w:rsidP="00136FAB">
      <w:pPr>
        <w:ind w:firstLine="720"/>
        <w:jc w:val="both"/>
        <w:rPr>
          <w:sz w:val="28"/>
          <w:szCs w:val="28"/>
        </w:rPr>
      </w:pPr>
    </w:p>
    <w:p w:rsidR="00136FAB" w:rsidRPr="00136FAB" w:rsidRDefault="00136FAB" w:rsidP="00136FAB">
      <w:pPr>
        <w:ind w:firstLine="567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136FAB" w:rsidRPr="00136FAB" w:rsidTr="00136FAB">
        <w:trPr>
          <w:trHeight w:val="423"/>
        </w:trPr>
        <w:tc>
          <w:tcPr>
            <w:tcW w:w="4962" w:type="dxa"/>
            <w:vAlign w:val="bottom"/>
            <w:hideMark/>
          </w:tcPr>
          <w:p w:rsidR="00136FAB" w:rsidRPr="00136FAB" w:rsidRDefault="00136FAB" w:rsidP="00136FAB">
            <w:pPr>
              <w:keepLines/>
              <w:jc w:val="both"/>
              <w:rPr>
                <w:sz w:val="28"/>
              </w:rPr>
            </w:pPr>
            <w:r w:rsidRPr="00136FAB">
              <w:rPr>
                <w:sz w:val="28"/>
              </w:rPr>
              <w:t>Глава города</w:t>
            </w:r>
          </w:p>
        </w:tc>
        <w:tc>
          <w:tcPr>
            <w:tcW w:w="5244" w:type="dxa"/>
            <w:vAlign w:val="bottom"/>
            <w:hideMark/>
          </w:tcPr>
          <w:p w:rsidR="00136FAB" w:rsidRPr="00136FAB" w:rsidRDefault="00136FAB" w:rsidP="00136FAB">
            <w:pPr>
              <w:keepLines/>
              <w:jc w:val="both"/>
              <w:rPr>
                <w:sz w:val="28"/>
              </w:rPr>
            </w:pPr>
            <w:r w:rsidRPr="00136FAB">
              <w:rPr>
                <w:sz w:val="28"/>
              </w:rPr>
              <w:t xml:space="preserve">                                         </w:t>
            </w:r>
            <w:proofErr w:type="spellStart"/>
            <w:r w:rsidRPr="00136FAB">
              <w:rPr>
                <w:sz w:val="28"/>
              </w:rPr>
              <w:t>Ю.В.Шалабаев</w:t>
            </w:r>
            <w:proofErr w:type="spellEnd"/>
          </w:p>
        </w:tc>
      </w:tr>
    </w:tbl>
    <w:p w:rsidR="00136FAB" w:rsidRPr="00136FAB" w:rsidRDefault="00136FAB" w:rsidP="00136FAB">
      <w:pPr>
        <w:widowControl w:val="0"/>
        <w:jc w:val="center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widowControl w:val="0"/>
        <w:jc w:val="right"/>
        <w:outlineLvl w:val="0"/>
        <w:rPr>
          <w:sz w:val="22"/>
        </w:rPr>
      </w:pPr>
    </w:p>
    <w:p w:rsidR="00136FAB" w:rsidRPr="00136FAB" w:rsidRDefault="00136FAB" w:rsidP="00136FAB">
      <w:pPr>
        <w:tabs>
          <w:tab w:val="left" w:pos="0"/>
        </w:tabs>
        <w:jc w:val="both"/>
      </w:pPr>
    </w:p>
    <w:p w:rsidR="00136FAB" w:rsidRPr="00136FAB" w:rsidRDefault="00136FAB" w:rsidP="00136FAB">
      <w:pPr>
        <w:tabs>
          <w:tab w:val="left" w:pos="0"/>
        </w:tabs>
        <w:jc w:val="both"/>
      </w:pPr>
    </w:p>
    <w:p w:rsidR="00136FAB" w:rsidRPr="00136FAB" w:rsidRDefault="00136FAB" w:rsidP="00136FAB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136FAB">
        <w:rPr>
          <w:sz w:val="28"/>
          <w:szCs w:val="28"/>
        </w:rPr>
        <w:t>Е.М.Ключева</w:t>
      </w:r>
      <w:proofErr w:type="spellEnd"/>
    </w:p>
    <w:p w:rsidR="00136FAB" w:rsidRPr="00136FAB" w:rsidRDefault="00136FAB" w:rsidP="00136FAB">
      <w:pPr>
        <w:tabs>
          <w:tab w:val="left" w:pos="0"/>
        </w:tabs>
        <w:jc w:val="both"/>
        <w:rPr>
          <w:sz w:val="28"/>
          <w:szCs w:val="28"/>
        </w:rPr>
      </w:pPr>
      <w:r w:rsidRPr="00136FAB">
        <w:rPr>
          <w:sz w:val="28"/>
          <w:szCs w:val="28"/>
        </w:rPr>
        <w:t>435 68 80</w:t>
      </w:r>
    </w:p>
    <w:p w:rsidR="00136FAB" w:rsidRPr="00136FAB" w:rsidRDefault="00136FAB" w:rsidP="00136FAB">
      <w:pPr>
        <w:widowControl w:val="0"/>
        <w:ind w:left="5812"/>
        <w:jc w:val="center"/>
        <w:outlineLvl w:val="0"/>
        <w:rPr>
          <w:sz w:val="28"/>
          <w:szCs w:val="28"/>
        </w:rPr>
      </w:pPr>
      <w:r w:rsidRPr="00136FAB">
        <w:rPr>
          <w:sz w:val="28"/>
          <w:szCs w:val="28"/>
        </w:rPr>
        <w:lastRenderedPageBreak/>
        <w:t>УТВЕРЖДЕНО</w:t>
      </w:r>
    </w:p>
    <w:p w:rsidR="00136FAB" w:rsidRPr="00136FAB" w:rsidRDefault="00136FAB" w:rsidP="00136FAB">
      <w:pPr>
        <w:widowControl w:val="0"/>
        <w:ind w:left="5812"/>
        <w:jc w:val="center"/>
        <w:outlineLvl w:val="0"/>
        <w:rPr>
          <w:sz w:val="28"/>
          <w:szCs w:val="28"/>
        </w:rPr>
      </w:pPr>
      <w:r w:rsidRPr="00136FAB">
        <w:rPr>
          <w:sz w:val="28"/>
          <w:szCs w:val="28"/>
        </w:rPr>
        <w:t>постановлением администрации</w:t>
      </w:r>
    </w:p>
    <w:p w:rsidR="00136FAB" w:rsidRPr="00136FAB" w:rsidRDefault="00136FAB" w:rsidP="00136FAB">
      <w:pPr>
        <w:widowControl w:val="0"/>
        <w:ind w:left="5812"/>
        <w:jc w:val="center"/>
        <w:outlineLvl w:val="0"/>
        <w:rPr>
          <w:sz w:val="28"/>
          <w:szCs w:val="28"/>
        </w:rPr>
      </w:pPr>
      <w:r w:rsidRPr="00136FAB">
        <w:rPr>
          <w:sz w:val="28"/>
          <w:szCs w:val="28"/>
        </w:rPr>
        <w:t>города</w:t>
      </w:r>
    </w:p>
    <w:p w:rsidR="00136FAB" w:rsidRPr="00136FAB" w:rsidRDefault="00136FAB" w:rsidP="00136FAB">
      <w:pPr>
        <w:widowControl w:val="0"/>
        <w:ind w:left="5812"/>
        <w:jc w:val="center"/>
        <w:rPr>
          <w:sz w:val="28"/>
          <w:szCs w:val="28"/>
        </w:rPr>
      </w:pPr>
      <w:r w:rsidRPr="00136FAB">
        <w:rPr>
          <w:sz w:val="28"/>
          <w:szCs w:val="28"/>
        </w:rPr>
        <w:t xml:space="preserve">от </w:t>
      </w:r>
      <w:r w:rsidR="008D7F93">
        <w:rPr>
          <w:sz w:val="28"/>
          <w:szCs w:val="28"/>
        </w:rPr>
        <w:t>27.02.2026</w:t>
      </w:r>
      <w:bookmarkStart w:id="0" w:name="_GoBack"/>
      <w:bookmarkEnd w:id="0"/>
      <w:r w:rsidRPr="00136FAB">
        <w:rPr>
          <w:sz w:val="28"/>
          <w:szCs w:val="28"/>
        </w:rPr>
        <w:t xml:space="preserve">  № </w:t>
      </w:r>
      <w:r w:rsidR="008D7F93">
        <w:rPr>
          <w:sz w:val="28"/>
          <w:szCs w:val="28"/>
        </w:rPr>
        <w:t>1606</w:t>
      </w:r>
    </w:p>
    <w:p w:rsidR="00136FAB" w:rsidRPr="00136FAB" w:rsidRDefault="00136FAB" w:rsidP="00136FAB">
      <w:pPr>
        <w:widowControl w:val="0"/>
        <w:jc w:val="right"/>
        <w:rPr>
          <w:sz w:val="22"/>
        </w:rPr>
      </w:pPr>
    </w:p>
    <w:p w:rsidR="00136FAB" w:rsidRPr="00136FAB" w:rsidRDefault="00136FAB" w:rsidP="00136FAB">
      <w:pPr>
        <w:widowControl w:val="0"/>
        <w:jc w:val="center"/>
        <w:outlineLvl w:val="1"/>
        <w:rPr>
          <w:color w:val="000000"/>
          <w:sz w:val="28"/>
          <w:szCs w:val="28"/>
        </w:rPr>
      </w:pPr>
    </w:p>
    <w:p w:rsidR="00136FAB" w:rsidRPr="00136FAB" w:rsidRDefault="00136FAB" w:rsidP="00136FAB">
      <w:pPr>
        <w:widowControl w:val="0"/>
        <w:jc w:val="center"/>
        <w:outlineLvl w:val="1"/>
        <w:rPr>
          <w:b/>
          <w:color w:val="000000"/>
          <w:sz w:val="28"/>
          <w:szCs w:val="28"/>
        </w:rPr>
      </w:pPr>
      <w:r w:rsidRPr="00136FAB">
        <w:rPr>
          <w:b/>
          <w:color w:val="000000"/>
          <w:sz w:val="28"/>
          <w:szCs w:val="28"/>
        </w:rPr>
        <w:t>Положение</w:t>
      </w:r>
    </w:p>
    <w:p w:rsidR="00136FAB" w:rsidRPr="00136FAB" w:rsidRDefault="00136FAB" w:rsidP="00136FAB">
      <w:pPr>
        <w:widowControl w:val="0"/>
        <w:jc w:val="center"/>
        <w:outlineLvl w:val="1"/>
        <w:rPr>
          <w:rFonts w:eastAsia="Liberation Sans"/>
          <w:sz w:val="28"/>
          <w:szCs w:val="28"/>
        </w:rPr>
      </w:pPr>
      <w:r w:rsidRPr="00136FAB">
        <w:rPr>
          <w:color w:val="000000"/>
          <w:sz w:val="28"/>
          <w:szCs w:val="28"/>
        </w:rPr>
        <w:t>о департаменте жилья и инженерной инфраструктуры администрации города Нижнего Новгорода</w:t>
      </w:r>
    </w:p>
    <w:p w:rsidR="00136FAB" w:rsidRPr="00136FAB" w:rsidRDefault="00136FAB" w:rsidP="00136FAB">
      <w:pPr>
        <w:widowControl w:val="0"/>
        <w:jc w:val="center"/>
        <w:outlineLvl w:val="1"/>
        <w:rPr>
          <w:sz w:val="28"/>
          <w:szCs w:val="28"/>
        </w:rPr>
      </w:pPr>
      <w:r w:rsidRPr="00136FAB">
        <w:rPr>
          <w:sz w:val="28"/>
          <w:szCs w:val="28"/>
        </w:rPr>
        <w:t>(далее – Положение)</w:t>
      </w:r>
    </w:p>
    <w:p w:rsidR="00136FAB" w:rsidRPr="00136FAB" w:rsidRDefault="00136FAB" w:rsidP="00136FAB">
      <w:pPr>
        <w:widowControl w:val="0"/>
        <w:jc w:val="center"/>
        <w:outlineLvl w:val="1"/>
        <w:rPr>
          <w:rFonts w:eastAsia="Liberation Sans"/>
          <w:sz w:val="28"/>
          <w:szCs w:val="28"/>
        </w:rPr>
      </w:pPr>
    </w:p>
    <w:p w:rsidR="00136FAB" w:rsidRPr="00136FAB" w:rsidRDefault="00136FAB" w:rsidP="00136FAB">
      <w:pPr>
        <w:widowControl w:val="0"/>
        <w:jc w:val="center"/>
        <w:outlineLvl w:val="1"/>
        <w:rPr>
          <w:rFonts w:eastAsia="Liberation Sans"/>
          <w:bCs/>
          <w:sz w:val="28"/>
          <w:szCs w:val="28"/>
        </w:rPr>
      </w:pPr>
      <w:r w:rsidRPr="00136FAB">
        <w:rPr>
          <w:bCs/>
          <w:sz w:val="28"/>
          <w:szCs w:val="28"/>
        </w:rPr>
        <w:t>1. Общие положения</w:t>
      </w:r>
    </w:p>
    <w:p w:rsidR="00136FAB" w:rsidRPr="00136FAB" w:rsidRDefault="00136FAB" w:rsidP="00136FAB">
      <w:pPr>
        <w:widowControl w:val="0"/>
        <w:jc w:val="center"/>
        <w:outlineLvl w:val="1"/>
        <w:rPr>
          <w:bCs/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1.1. Департамент жилья и инженерной инфраструктуры администрации города Нижнего Новгорода (далее - департамент) является отраслевым (функциональным) органом администрации города Нижнего Новгорода на основании решения городской Думы города Нижнего Новгорода от 29.09.2025 №13 «О структуре администрации города Нижнего Новгорода».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1.2. Департамент возглавляется директором департамента и подчиняется непосредственно первому заместителю главы администрации города.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1.3. Правовую основу деятельности департамента составляют Конституция Российской Федерации, законодательство Российской Федерации и Нижегородской области, Устав муниципального образования городской округ город Нижний Новгород, иные правовые акты органов местного самоуправления города Нижнего Новгорода, а также настоящее Положение.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1.4. Департамент имеет лицевой счет в департаменте финансов администрации города и в Управлении Федерального казначейства по Нижегородской области, печать со своим наименованием, штампы и бланки.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center"/>
        <w:outlineLvl w:val="1"/>
        <w:rPr>
          <w:rFonts w:eastAsia="Liberation Sans"/>
          <w:bCs/>
          <w:sz w:val="28"/>
          <w:szCs w:val="28"/>
        </w:rPr>
      </w:pPr>
      <w:r w:rsidRPr="00136FAB">
        <w:rPr>
          <w:bCs/>
          <w:sz w:val="28"/>
          <w:szCs w:val="28"/>
        </w:rPr>
        <w:t>2. Основные задачи</w:t>
      </w:r>
    </w:p>
    <w:p w:rsidR="00136FAB" w:rsidRPr="00136FAB" w:rsidRDefault="00136FAB" w:rsidP="00136FAB">
      <w:pPr>
        <w:widowControl w:val="0"/>
        <w:ind w:firstLine="709"/>
        <w:jc w:val="center"/>
        <w:outlineLvl w:val="1"/>
        <w:rPr>
          <w:rFonts w:eastAsia="Liberation Sans"/>
          <w:bCs/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2.1. Формирование и реализация единой политики для устойчивого функционирования отрасли жилищно-коммунального хозяйства муниципального образования городской округ город Нижний Новгород.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2.2. Выполнение управленческих функций в рамках своей компетенции в сфере жилищно-коммунального хозяйства.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2.3. Выполнение мероприятий по реализации полномочий собственника муниципального жилищного фонда в части функций департамента по согласованию перечней работ по ремонту жилых помещений муниципального жилищного фонда в части видов выполняемых работ, подлежащих капитальному ремонту за счет средств бюджета муниципального образования городской округ город Нижний Новгород.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2.4. Выполнение мероприятий, направленных на реализацию функций и полномочий департамента как учредителя муниципальных предприятий и муниципальных учреждений.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lastRenderedPageBreak/>
        <w:t>2.5. Осуществление деятельности по ведению лицевого счета департамента по разделу бюджета муниципального образования городской округ город Нижний Новгород по ведомству 133 "Жилищно-коммунальное хозяйство".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2.6. Участие в организации на территории муниципального образования городской округ город Нижний Новгород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center"/>
        <w:outlineLvl w:val="1"/>
        <w:rPr>
          <w:rFonts w:eastAsia="Liberation Sans"/>
          <w:bCs/>
          <w:sz w:val="28"/>
          <w:szCs w:val="28"/>
        </w:rPr>
      </w:pPr>
      <w:r w:rsidRPr="00136FAB">
        <w:rPr>
          <w:bCs/>
          <w:sz w:val="28"/>
          <w:szCs w:val="28"/>
        </w:rPr>
        <w:t>3. Функции</w:t>
      </w:r>
    </w:p>
    <w:p w:rsidR="00136FAB" w:rsidRPr="00136FAB" w:rsidRDefault="00136FAB" w:rsidP="00136FAB">
      <w:pPr>
        <w:widowControl w:val="0"/>
        <w:ind w:firstLine="709"/>
        <w:jc w:val="center"/>
        <w:outlineLvl w:val="1"/>
        <w:rPr>
          <w:rFonts w:eastAsia="Liberation Sans"/>
          <w:bCs/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В соответствии с возложенными задачами департамент осуществляет следующие основные функции: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3.1. Осуществляет деятельность по ведению лицевого счета, связанную с исполнением функции главного распорядителя расходной части бюджета и главного администратора доходной части бюджета по разделу "Жилищно-коммунальное хозяйство" в рамках полномочий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3.2. Осуществляет деятельность в рамках предоставления субсидии организациям из бюджета города в порядке, установленном правовыми актами администрации города, в рамках полномочий, возложенных на департамент.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3.3. Уведомляет администрации районов и организации, являющиеся получателями бюджетных средств, о выделении им лимитов бюджетных ассигнований, о перераспределении бюджетных средств, предусмотренных на текущий финансовый год.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3.4. Осуществляет проверку расчетов средств бюджета муниципального образования городской округ город Нижний Новгород и финансирование в рамках полномочий, возложенных на департамент: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расходов по взносам на капитальный ремонт общего имущества собственников помещений в многоквартирном доме в доле муниципальной собственности на это имущество по муниципальным помещениям (по данным, представленным отраслевыми (функциональными) органами администрации города Нижнего Новгорода);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расходов по оснащению многоквартирных домов общедомовыми приборами учета энергетического ресурса в доле муниципальной собственности.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3.5. Осуществляет согласование перечней работ по ремонту жилых помещений муниципального жилищного фонда в части видов выполняемых работ, подлежащих капитальному ремонту за счет средств бюджета муниципального образования городской округ город Нижний Новгород.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3.6. Формирует проекты внесения изменений в программу капитального ремонта общего имущества в многоквартирных домах, расположенных на территории городского округа город Нижний Новгород, в краткосрочные планы реализации программы капитального ремонта на основании сведений, представленных администрациями</w:t>
      </w:r>
      <w:r w:rsidRPr="00136FAB">
        <w:rPr>
          <w:sz w:val="28"/>
          <w:szCs w:val="28"/>
          <w:lang w:eastAsia="en-US"/>
        </w:rPr>
        <w:t xml:space="preserve"> районов города Нижнего Новгорода, администрацией </w:t>
      </w:r>
      <w:proofErr w:type="spellStart"/>
      <w:r w:rsidRPr="00136FAB">
        <w:rPr>
          <w:sz w:val="28"/>
          <w:szCs w:val="28"/>
          <w:lang w:eastAsia="en-US"/>
        </w:rPr>
        <w:t>Кстовского</w:t>
      </w:r>
      <w:proofErr w:type="spellEnd"/>
      <w:r w:rsidRPr="00136FAB">
        <w:rPr>
          <w:sz w:val="28"/>
          <w:szCs w:val="28"/>
          <w:lang w:eastAsia="en-US"/>
        </w:rPr>
        <w:t xml:space="preserve"> района муниципального образования городской округ город Нижний Новгород, </w:t>
      </w:r>
      <w:r w:rsidRPr="00136FAB">
        <w:rPr>
          <w:sz w:val="28"/>
          <w:szCs w:val="28"/>
        </w:rPr>
        <w:t xml:space="preserve">территориальный отдел администрации города Нижнего Новгорода Новинский сельсовет городского округа город Нижний (далее – </w:t>
      </w:r>
      <w:r w:rsidRPr="00136FAB">
        <w:rPr>
          <w:sz w:val="28"/>
          <w:szCs w:val="28"/>
        </w:rPr>
        <w:lastRenderedPageBreak/>
        <w:t xml:space="preserve">территориальный орган), некоммерческой организацией "Нижегородский фонд ремонта многоквартирных домов, расположенных на территории Нижегородской области", государственной жилищной инспекцией Нижегородской области, заключений </w:t>
      </w:r>
      <w:r w:rsidRPr="00136FAB">
        <w:rPr>
          <w:color w:val="000000"/>
          <w:sz w:val="28"/>
          <w:szCs w:val="28"/>
        </w:rPr>
        <w:t>специализированных организаций, подтверждающих возможность проведения капитального ремонта внутридомовых инженерных систем газоснабжения, а также ремонт, замену, модернизацию лифтов, ремонта лифтовых шахт, машинных и блочных помещений позднее сроков, установленных региональной программой</w:t>
      </w:r>
      <w:r w:rsidRPr="00136FAB">
        <w:rPr>
          <w:sz w:val="28"/>
          <w:szCs w:val="28"/>
        </w:rPr>
        <w:t>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3.7. Организует работу по информированию собственников помещений в многоквартирном доме и созыву общего собрания собственников помещений в многоквартирном доме в случаях, установленных Жилищным кодексом Российской Федерации.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3.8. Разрабатывает муниципальные программы в соответствии с действующими правовыми актами в сфере жилищно-коммунального хозяйства.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3.9. Осуществляет функции и полномочия учредителя в отношении подведомственных учреждений и предприятий в порядке, установленном действующим законодательством, координирует их работу.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3.10. Проводит мониторинг показателей и осуществляет предоставление информации заинтересованному органу для формирования статистической отчетности в сфере жилищно-коммунального хозяйства по вопросам, возложенным на органы местного самоуправления в соответствии с жилищным законодательством, в части реализации функций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3.11. Организует и проводит открытые конкурсы по отбору управляющих организаций для управления многоквартирным домом, формирует перечень "временных" управляющих организаций, определяет "временные" управляющие организации в соответствии с полномочиями органа местного самоуправления в соответствии с жилищным законодательством в части функций, осуществляемых департаментом.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3.12. Организует работу по информированию собственников помещений в многоквартирном доме и иных заинтересованных лиц о решениях, принятых лицензионной комиссией и органом государственного жилищного надзора.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3.13. Участвует в муниципальной комиссии по обследованию жилых помещений и общего имущества в многоквартирных домах, в которых проживают инвалиды, в целях определения приспособления этих помещений и имущества потребностям инвалидов и обеспечения условий их доступности инвалидам. Проводит проверку документов, предоставляемых территориальными органами для рассмотрения на заседании муниципальной комиссии, в рамках полномочий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 xml:space="preserve">3.14. Участвует в межведомственной комиссии по признанию помещений жилыми помещениями, жилых помещений пригодными (непригодными) для проживания граждан и многоквартирных домов аварийными и подлежащими сносу или реконструкции на территории муниципального образования городского округа город Нижний Новгород (далее – межведомственная комиссия) требованиям нормативно-правовых актов Российской Федерации, администрации города Нижнего Новгорода. Проводит проверку документов, представляемых </w:t>
      </w:r>
      <w:r w:rsidRPr="00136FAB">
        <w:rPr>
          <w:sz w:val="28"/>
          <w:szCs w:val="28"/>
        </w:rPr>
        <w:lastRenderedPageBreak/>
        <w:t>территориальными органами администрации города Нижнего Новгорода для рассмотрения на заседании межведомственной комиссии, в рамках полномочий департамента.</w:t>
      </w:r>
    </w:p>
    <w:p w:rsidR="00136FAB" w:rsidRPr="00136FAB" w:rsidRDefault="00136FAB" w:rsidP="00136FAB">
      <w:pPr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3.15. Подготавливает и согласовывает с заинтересованными отраслевыми (функциональными) и территориальными органами администрации города Нижнего Новгорода проекты постановлений администрации города Нижнего Новгорода по результатам работы Комиссии и принятых решениях об оценке соответствия помещений и многоквартирных домов установленным действующим законодательством требованиям.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3.16. Осуществляет мониторинг подготовки объектов жилищно-коммунального хозяйства, социальной сферы и топливно-энергетического комплекса муниципального образования городской округ город Нижний Новгород к отопительному периоду.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3.17. Рассматривает проекты инвестиционных программ организаций, осуществляющих регулируемый вид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электроэнергетике, в сфере водоснабжения и водоотведения, в части соответствия мероприятий, включенных в инвестиционную программу, техническим решениям, обоснованным в утвержденных схемах теплоснабжения, водоснабжения и водоотведения муниципального образования городского округа город Нижний Новгород.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3.18. Принимает участие в разработке и актуализации схем тепло-, водоснабжения и водоотведения муниципального образования городского округа город Нижний Новгород.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3.19. Участвует в организации на территории муниципального образования городского округа город Нижний Новгород электро-, тепло-, газо- и водоснабжения населения, водоотведения, снабжения населения топливом в рамках полномочий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 xml:space="preserve">3.20. Организует проведение городских конкурсов "Лучший Совет МКД", "Лучшее товарищество собственников жилья", "Лучший дворник", "Самый </w:t>
      </w:r>
      <w:proofErr w:type="spellStart"/>
      <w:r w:rsidRPr="00136FAB">
        <w:rPr>
          <w:sz w:val="28"/>
          <w:szCs w:val="28"/>
        </w:rPr>
        <w:t>пожаробезопасный</w:t>
      </w:r>
      <w:proofErr w:type="spellEnd"/>
      <w:r w:rsidRPr="00136FAB">
        <w:rPr>
          <w:sz w:val="28"/>
          <w:szCs w:val="28"/>
        </w:rPr>
        <w:t xml:space="preserve"> дом".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3.21. Участвует в реализации мероприятий плана перевода муниципального образования городского округа город Нижний Новгород с мирного на военное время и участвует в учебно-практических мероприятиях по мобилизационной подготовке.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136FAB">
        <w:rPr>
          <w:sz w:val="28"/>
          <w:szCs w:val="28"/>
        </w:rPr>
        <w:t>3.22. Размещает в рамках полномочий, закрепленных за департаментом, в государственной информационной системе жилищно-коммунального хозяйства информацию в соответствии с законодательством Российской Федерации.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 xml:space="preserve">3.23. Размещает в рамках полномочий, закрепленных за департаментом в </w:t>
      </w:r>
      <w:proofErr w:type="spellStart"/>
      <w:r w:rsidRPr="00136FAB">
        <w:rPr>
          <w:sz w:val="28"/>
          <w:szCs w:val="28"/>
        </w:rPr>
        <w:t>Росреестре</w:t>
      </w:r>
      <w:proofErr w:type="spellEnd"/>
      <w:r w:rsidRPr="00136FAB">
        <w:rPr>
          <w:sz w:val="28"/>
          <w:szCs w:val="28"/>
        </w:rPr>
        <w:t>, в автоматизированной информационной системе публично – правовой компании «Фонд развития территорий» информацию в соответствии с законодательством Российской Федерации.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3.24. Разрабатывает проекты правовых актов администрации города Нижнего Новгорода по вопросам, относящимся к компетенции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 xml:space="preserve">3.25. Проводит совещания, оказывает методическую и консультационную </w:t>
      </w:r>
      <w:r w:rsidRPr="00136FAB">
        <w:rPr>
          <w:sz w:val="28"/>
          <w:szCs w:val="28"/>
        </w:rPr>
        <w:lastRenderedPageBreak/>
        <w:t>помощь организациям жилищно-коммунального комплекса независимо от формы собственности, ТСЖ и кооперативам, юридическим лицам, собственникам и нанимателям жилых помещений в многоквартирном доме, специалистам администраций районов города по вопросам, относящимся к компетенции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3.26. Осуществляет работу с обращениями граждан в соответствии с действующим законодательством.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3.27. Обеспечивает при реализации полномочий департамента приоритет целей и задач по развитию конкуренции на товарных рынках в установленной сфере деятельности.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3.28. В рамках возложенных полномочий осуществляет исполнение судебных актов и контроль за ходом исполнительного производства.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3.29. Обеспечивает реализацию национальных проектов на территории муниципального образования городской округ город Нижний Новгород в рамках возложенных полномочий.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center"/>
        <w:outlineLvl w:val="1"/>
        <w:rPr>
          <w:rFonts w:eastAsia="Liberation Sans"/>
          <w:sz w:val="28"/>
          <w:szCs w:val="28"/>
        </w:rPr>
      </w:pPr>
      <w:r w:rsidRPr="00136FAB">
        <w:rPr>
          <w:bCs/>
          <w:sz w:val="28"/>
          <w:szCs w:val="28"/>
        </w:rPr>
        <w:t>4. Права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Департаменту для осуществления возложенных на него функций по вопросам, относящимся к его компетенции, предоставляется право: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4.1. Запрашивать и получать в установленном порядке от отраслевых (функциональных) и территориальных органов администрации города Нижнего Новгорода, городской Думы города Нижнего Новгорода, органов государственной власти, юридических и физических лиц информацию, документы и материалы в объеме, необходимом для выполнения возложенных на департамент функций.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4.2. Проводить проверки деятельности муниципальных учреждений и предприятий, подведомственных департаменту.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4.3. Подготавливать проекты правовых актов.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4.4. Разрабатывать методические материалы и рекомендации.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4.5. Согласовывать проекты правовых актов и документов в рамках компетенции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4.6. Участвовать в подготовке и заключении договоров (контрактов, соглашений).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4.7. Привлекать для разработки документов, программ и методических материалов юридических лиц, а также отдельных специалистов.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4.8. Созывать и проводить в установленном порядке совещания с привлечением представителей отраслевых (функциональных) и территориальных органов администрации города Нижнего Новгорода, городской Думы города Нижнего Новгорода, органов государственной власти, юридических и физических лиц.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4.9. Принимать участие в совещаниях, проводимых органами государственной власти Нижегородской области.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4.10. Иные права департамента устанавливаются главой города в порядке, предусмотренном правовыми актами администрации города.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center"/>
        <w:outlineLvl w:val="1"/>
        <w:rPr>
          <w:rFonts w:eastAsia="Liberation Sans"/>
          <w:sz w:val="28"/>
          <w:szCs w:val="28"/>
        </w:rPr>
      </w:pPr>
      <w:r w:rsidRPr="00136FAB">
        <w:rPr>
          <w:bCs/>
          <w:sz w:val="28"/>
          <w:szCs w:val="28"/>
        </w:rPr>
        <w:lastRenderedPageBreak/>
        <w:t>5. Полномочия директора департамента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5.1. Директор департамента назначается и освобождается от занимаемой должности главой города Нижнего Новгорода по согласованию с первым заместителем главы администрации города.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 Директор департамента: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5.2.1. Осуществляет руководство деятельностью департамента и несет персональную ответственность за выполнение возложенных на департамент задач и функций.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5.2.2. Согласовывает заявления о приеме на работу и увольнении работников департамента в соответствии с трудовым законодательством и законодательством о муниципальной службе, а также вносит предложения о поощрении и применении дисциплинарных взысканий в отношении работников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5.2.3. Издает в пределах своей компетенции приказы и дает поручения, подлежащие обязательному исполнению работниками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5.2.4. Утверждает положения о подразделениях департамента, согласовывает должностные инструкции сотрудников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5.2.5. Вносит в установленном порядке на подпись главе города проекты постановлений и распоряжений, визирует тексты перед их подписанием.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5.2.6. Участвует в совещаниях и иных мероприятиях, проводимых главой города, иными должностными лицами.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5.2.7. Заключает договоры и соглашения от имени и в интересах администрации города Нижнего Новгорода по вопросам, относящимся к компетенции Департамента.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>5.2.8. Обеспечивает исполнение сотрудниками департамента правил внутреннего трудового распорядка, Кодекса служебной этики муниципальных служащих администрации города, должностных инструкций.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center"/>
        <w:outlineLvl w:val="1"/>
        <w:rPr>
          <w:rFonts w:eastAsia="Liberation Sans"/>
          <w:sz w:val="28"/>
          <w:szCs w:val="28"/>
        </w:rPr>
      </w:pPr>
      <w:r w:rsidRPr="00136FAB">
        <w:rPr>
          <w:bCs/>
          <w:sz w:val="28"/>
          <w:szCs w:val="28"/>
        </w:rPr>
        <w:t>6. Взаимоотношения</w:t>
      </w: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</w:p>
    <w:p w:rsidR="00136FAB" w:rsidRPr="00136FAB" w:rsidRDefault="00136FAB" w:rsidP="00136FAB">
      <w:pPr>
        <w:widowControl w:val="0"/>
        <w:ind w:firstLine="709"/>
        <w:jc w:val="both"/>
        <w:rPr>
          <w:sz w:val="28"/>
          <w:szCs w:val="28"/>
        </w:rPr>
      </w:pPr>
      <w:r w:rsidRPr="00136FAB">
        <w:rPr>
          <w:sz w:val="28"/>
          <w:szCs w:val="28"/>
        </w:rPr>
        <w:t xml:space="preserve">Департамент осуществляет свою деятельность во взаимодействии с отраслевыми (функциональными) и территориальными органами администрации города Нижнего Новгорода, городской Думой города Нижнего Новгорода, органами власти Нижегородской области и </w:t>
      </w:r>
      <w:proofErr w:type="gramStart"/>
      <w:r w:rsidRPr="00136FAB">
        <w:rPr>
          <w:sz w:val="28"/>
          <w:szCs w:val="28"/>
        </w:rPr>
        <w:t>иными организациями</w:t>
      </w:r>
      <w:proofErr w:type="gramEnd"/>
      <w:r w:rsidRPr="00136FAB">
        <w:rPr>
          <w:sz w:val="28"/>
          <w:szCs w:val="28"/>
        </w:rPr>
        <w:t xml:space="preserve"> и учреждениями.</w:t>
      </w:r>
    </w:p>
    <w:sectPr w:rsidR="00136FAB" w:rsidRPr="00136FAB" w:rsidSect="000F19E1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F7" w:rsidRDefault="00C015F7" w:rsidP="009705F0">
      <w:r>
        <w:separator/>
      </w:r>
    </w:p>
  </w:endnote>
  <w:endnote w:type="continuationSeparator" w:id="0">
    <w:p w:rsidR="00C015F7" w:rsidRDefault="00C015F7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d"/>
      <w:jc w:val="right"/>
    </w:pPr>
  </w:p>
  <w:p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F7" w:rsidRDefault="00C015F7" w:rsidP="009705F0">
      <w:r>
        <w:separator/>
      </w:r>
    </w:p>
  </w:footnote>
  <w:footnote w:type="continuationSeparator" w:id="0">
    <w:p w:rsidR="00C015F7" w:rsidRDefault="00C015F7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5430C" w:rsidRDefault="0075430C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8D7F93">
          <w:rPr>
            <w:noProof/>
            <w:sz w:val="28"/>
            <w:szCs w:val="28"/>
          </w:rPr>
          <w:t>8</w:t>
        </w:r>
        <w:r w:rsidRPr="0075430C">
          <w:rPr>
            <w:sz w:val="28"/>
            <w:szCs w:val="28"/>
          </w:rPr>
          <w:fldChar w:fldCharType="end"/>
        </w:r>
      </w:p>
    </w:sdtContent>
  </w:sdt>
  <w:p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36FAB"/>
    <w:rsid w:val="00141D63"/>
    <w:rsid w:val="002022F0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502AFB"/>
    <w:rsid w:val="00510562"/>
    <w:rsid w:val="005262CC"/>
    <w:rsid w:val="005738A5"/>
    <w:rsid w:val="005E558A"/>
    <w:rsid w:val="006115C7"/>
    <w:rsid w:val="006D47B1"/>
    <w:rsid w:val="007179D0"/>
    <w:rsid w:val="0074540D"/>
    <w:rsid w:val="0075430C"/>
    <w:rsid w:val="00782EB1"/>
    <w:rsid w:val="007E5BC6"/>
    <w:rsid w:val="008D7F93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E54E50"/>
    <w:rsid w:val="00E82347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C18E0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C82F9A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87916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C82F9A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1913</Words>
  <Characters>15205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Борисова Елена Васильевна</cp:lastModifiedBy>
  <cp:revision>4</cp:revision>
  <cp:lastPrinted>2026-02-25T07:43:00Z</cp:lastPrinted>
  <dcterms:created xsi:type="dcterms:W3CDTF">2021-07-16T12:12:00Z</dcterms:created>
  <dcterms:modified xsi:type="dcterms:W3CDTF">2026-02-27T07:51:00Z</dcterms:modified>
</cp:coreProperties>
</file>