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outlineLvl w:val="1"/>
      </w:pPr>
      <w:r/>
      <w:bookmarkStart w:id="0" w:name="P36"/>
      <w:r/>
      <w:bookmarkEnd w:id="0"/>
      <w:r/>
      <w:r/>
    </w:p>
    <w:p>
      <w:pPr>
        <w:ind w:left="4820" w:hanging="4820"/>
        <w:widowControl w:val="off"/>
        <w:outlineLvl w:val="1"/>
      </w:pPr>
      <w:r/>
      <w:r/>
    </w:p>
    <w:p>
      <w:pPr>
        <w:ind w:left="4820" w:hanging="4820"/>
        <w:widowControl w:val="off"/>
        <w:outlineLvl w:val="1"/>
      </w:pPr>
      <w:r/>
      <w:r/>
    </w:p>
    <w:p>
      <w:pPr>
        <w:ind w:left="4820" w:hanging="4820"/>
        <w:widowControl w:val="off"/>
        <w:outlineLvl w:val="1"/>
      </w:pPr>
      <w:r/>
      <w:r/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widowControl w:val="off"/>
        <w:rPr>
          <w:sz w:val="24"/>
          <w:szCs w:val="24"/>
        </w:rPr>
      </w:pPr>
      <w:r/>
      <w:bookmarkStart w:id="1" w:name="P77"/>
      <w:r/>
      <w:bookmarkEnd w:id="1"/>
      <w:r/>
      <w:r>
        <w:rPr>
          <w:sz w:val="24"/>
          <w:szCs w:val="24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с «29</w:t>
      </w:r>
      <w:r>
        <w:rPr>
          <w:sz w:val="24"/>
          <w:szCs w:val="24"/>
        </w:rPr>
        <w:t xml:space="preserve">» ноября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2024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по «16</w:t>
      </w:r>
      <w:r>
        <w:rPr>
          <w:sz w:val="24"/>
          <w:szCs w:val="24"/>
        </w:rPr>
        <w:t xml:space="preserve">» декабря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2024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проект постановления администрации города Нижнего Новгорода «Об утверждении Программы профилактики рисков причинения вреда (ущерба) </w:t>
      </w:r>
      <w:r>
        <w:rPr>
          <w:sz w:val="24"/>
          <w:szCs w:val="24"/>
        </w:rPr>
        <w:t xml:space="preserve">охраняемым законом ценностям при осуществлении видов муниципального контроля на территории муниципального образования городской округ город Нижний Новгорода на 2025 </w:t>
      </w:r>
      <w:r>
        <w:rPr>
          <w:sz w:val="24"/>
          <w:szCs w:val="24"/>
        </w:rPr>
        <w:t xml:space="preserve">год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проекту постановления администрации города Нижнего Новгорода </w:t>
      </w: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видов муниципального контроля на территории муниципального образования городской окр</w:t>
      </w:r>
      <w:r>
        <w:rPr>
          <w:rFonts w:ascii="Times New Roman" w:hAnsi="Times New Roman" w:cs="Times New Roman"/>
          <w:sz w:val="24"/>
          <w:szCs w:val="24"/>
        </w:rPr>
        <w:t xml:space="preserve">уг город Нижний Новгород на 2025</w:t>
      </w:r>
      <w:r>
        <w:rPr>
          <w:rFonts w:ascii="Times New Roman" w:hAnsi="Times New Roman" w:cs="Times New Roman"/>
          <w:sz w:val="24"/>
          <w:szCs w:val="24"/>
        </w:rPr>
        <w:t xml:space="preserve"> год».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_</w:t>
      </w:r>
      <w:r>
        <w:rPr>
          <w:sz w:val="24"/>
          <w:szCs w:val="24"/>
        </w:rPr>
        <w:t xml:space="preserve">______</w:t>
      </w:r>
      <w:r>
        <w:rPr>
          <w:sz w:val="24"/>
          <w:szCs w:val="24"/>
        </w:rPr>
        <w:t xml:space="preserve">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142"/>
        <w:jc w:val="center"/>
        <w:widowControl w:val="off"/>
      </w:pPr>
      <w:r>
        <w:rPr>
          <w:sz w:val="24"/>
          <w:szCs w:val="24"/>
        </w:rPr>
        <w:t xml:space="preserve"> </w:t>
      </w:r>
      <w:r>
        <w:t xml:space="preserve">(наименование проекта муниципального правового акта)</w:t>
      </w:r>
      <w:r/>
    </w:p>
    <w:p>
      <w:pPr>
        <w:ind w:firstLine="540"/>
        <w:widowControl w:val="off"/>
      </w:pPr>
      <w:r/>
      <w:r/>
    </w:p>
    <w:p>
      <w:pPr>
        <w:ind w:firstLine="540"/>
        <w:widowControl w:val="off"/>
      </w:pPr>
      <w:r/>
      <w:r/>
    </w:p>
    <w:p>
      <w:pPr>
        <w:ind w:firstLine="540"/>
        <w:widowControl w:val="off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52"/>
        <w:gridCol w:w="3515"/>
        <w:gridCol w:w="58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п/п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5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Содержание предложения 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 рассмотрения (учтено/частично отклонено/откл</w:t>
            </w:r>
            <w:bookmarkStart w:id="2" w:name="_GoBack"/>
            <w:r/>
            <w:bookmarkEnd w:id="2"/>
            <w:r>
              <w:rPr>
                <w:sz w:val="24"/>
                <w:szCs w:val="24"/>
                <w:lang w:eastAsia="en-US"/>
              </w:rPr>
              <w:t xml:space="preserve">онено, с обоснованием)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5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Предложения отсутствуют</w:t>
            </w: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8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                     ___________________________</w:t>
            </w:r>
            <w:r>
              <w:rPr>
                <w:sz w:val="24"/>
                <w:szCs w:val="24"/>
                <w:lang w:val="en-US" w:eastAsia="en-US"/>
              </w:rPr>
            </w:r>
          </w:p>
        </w:tc>
      </w:tr>
    </w:tbl>
    <w:p>
      <w:pPr>
        <w:ind w:firstLine="540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40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756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организатора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общественного обсуждения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____________________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М.А.Селезнев</w:t>
      </w:r>
      <w:r>
        <w:rPr>
          <w:sz w:val="24"/>
          <w:szCs w:val="24"/>
        </w:rPr>
      </w:r>
    </w:p>
    <w:p>
      <w:pPr>
        <w:ind w:firstLine="851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tabs>
          <w:tab w:val="left" w:pos="1875" w:leader="none"/>
        </w:tabs>
      </w:pPr>
      <w:r/>
      <w:r/>
    </w:p>
    <w:p>
      <w:pPr>
        <w:tabs>
          <w:tab w:val="left" w:pos="1875" w:leader="none"/>
        </w:tabs>
      </w:pPr>
      <w:r/>
      <w:r/>
    </w:p>
    <w:p>
      <w:pPr>
        <w:tabs>
          <w:tab w:val="left" w:pos="1875" w:leader="none"/>
        </w:tabs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HeadDoc"/>
    <w:link w:val="622"/>
    <w:pPr>
      <w:jc w:val="both"/>
      <w:keepLines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22" w:customStyle="1">
    <w:name w:val="HeadDoc Знак"/>
    <w:basedOn w:val="618"/>
    <w:link w:val="62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23">
    <w:name w:val="Balloon Text"/>
    <w:basedOn w:val="617"/>
    <w:link w:val="6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revision>11</cp:revision>
  <dcterms:created xsi:type="dcterms:W3CDTF">2021-11-01T12:38:00Z</dcterms:created>
  <dcterms:modified xsi:type="dcterms:W3CDTF">2024-11-29T14:25:24Z</dcterms:modified>
</cp:coreProperties>
</file>