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решения городской Думы города Нижнего Новгорода «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Об утверждении Правил установки и </w:t>
      </w:r>
      <w:r>
        <w:rPr>
          <w:sz w:val="28"/>
          <w:szCs w:val="28"/>
        </w:rPr>
        <w:t xml:space="preserve">эксплуатации рекламных конструкций в муниципальном образовании городской</w:t>
      </w:r>
      <w:r>
        <w:t xml:space="preserve"> </w:t>
      </w:r>
      <w:r>
        <w:rPr>
          <w:sz w:val="28"/>
          <w:szCs w:val="28"/>
        </w:rPr>
        <w:t xml:space="preserve">округ город Нижний Новгород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решения городской Думы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Об утверждении Правил установки и </w:t>
      </w:r>
      <w:r>
        <w:rPr>
          <w:sz w:val="28"/>
          <w:szCs w:val="28"/>
        </w:rPr>
        <w:t xml:space="preserve">эксплуатации рекламных конструкций в муниципальном образовании городской</w:t>
      </w:r>
      <w:r>
        <w:t xml:space="preserve"> </w:t>
      </w:r>
      <w:r>
        <w:rPr>
          <w:sz w:val="28"/>
          <w:szCs w:val="28"/>
        </w:rPr>
        <w:t xml:space="preserve">округ город Нижний Новгород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Порядком проведения оценки регулирующего воздействия проектов муниципальных нормативных правовых актов, утвержденным </w:t>
      </w:r>
      <w:r>
        <w:rPr>
          <w:sz w:val="28"/>
          <w:szCs w:val="28"/>
        </w:rPr>
        <w:t xml:space="preserve">постановлением администрации города Нижнего Новгорода от 23.10.2025 № 13576</w:t>
      </w:r>
      <w:r>
        <w:rPr>
          <w:sz w:val="28"/>
          <w:szCs w:val="28"/>
        </w:rPr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22 (5931).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goncharova@admgor.nnov.ru.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Я.Е.Гончарова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1_663" w:customStyle="1">
    <w:name w:val="Body Text Indent"/>
    <w:basedOn w:val="865"/>
    <w:link w:val="886"/>
    <w:pPr>
      <w:contextualSpacing w:val="0"/>
      <w:ind w:left="0" w:right="0" w:firstLine="567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35</cp:revision>
  <dcterms:created xsi:type="dcterms:W3CDTF">2020-08-21T11:49:00Z</dcterms:created>
  <dcterms:modified xsi:type="dcterms:W3CDTF">2025-11-25T12:02:13Z</dcterms:modified>
</cp:coreProperties>
</file>