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КОНКУРСНАЯ ДОКУМЕНТАЦИЯ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конкурсного отбора</w:t>
      </w:r>
      <w:r>
        <w:rPr>
          <w:b/>
          <w:bCs/>
          <w:sz w:val="28"/>
          <w:szCs w:val="28"/>
        </w:rPr>
        <w:t xml:space="preserve"> претендентов на участие в </w:t>
      </w:r>
      <w:r>
        <w:rPr>
          <w:b/>
          <w:bCs/>
          <w:sz w:val="28"/>
          <w:szCs w:val="28"/>
        </w:rPr>
        <w:t xml:space="preserve">разовой </w:t>
      </w:r>
      <w:r>
        <w:rPr>
          <w:b/>
          <w:bCs/>
          <w:sz w:val="28"/>
          <w:szCs w:val="28"/>
        </w:rPr>
        <w:t xml:space="preserve">ярмарке </w:t>
      </w:r>
      <w:r>
        <w:rPr>
          <w:sz w:val="28"/>
          <w:szCs w:val="28"/>
        </w:rPr>
        <w:t xml:space="preserve">изделий мастеров народных художественных промыслов и декоративно-прикладного и</w:t>
      </w:r>
      <w:r>
        <w:rPr>
          <w:sz w:val="28"/>
          <w:szCs w:val="28"/>
        </w:rPr>
        <w:t xml:space="preserve">скусства «Секреты мастеров»-2024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2"/>
          <w:b/>
          <w:bCs/>
          <w:sz w:val="28"/>
          <w:szCs w:val="28"/>
        </w:rPr>
        <w:t xml:space="preserve">Организатор конкурсного отбора</w:t>
      </w:r>
      <w:r>
        <w:rPr>
          <w:rStyle w:val="842"/>
          <w:sz w:val="28"/>
          <w:szCs w:val="28"/>
        </w:rPr>
        <w:t xml:space="preserve"> (далее — организатор отбора):  </w:t>
      </w:r>
      <w:r>
        <w:rPr>
          <w:sz w:val="28"/>
          <w:szCs w:val="28"/>
        </w:rPr>
        <w:t xml:space="preserve">муниципальное автономное учреждение «Управление по ту</w:t>
      </w:r>
      <w:r>
        <w:rPr>
          <w:sz w:val="28"/>
          <w:szCs w:val="28"/>
        </w:rPr>
        <w:t xml:space="preserve">ризму города Нижнего Новгорода»: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-место нахождения: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Н.Новгород, ул. Рождественская, 39 (офис 28, этаж 2)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-почтовый адрес: 607600, г.Н.Новгород, ул. Рождественская, 39 (офис 28, этаж 2);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-о</w:t>
      </w:r>
      <w:r>
        <w:rPr>
          <w:rStyle w:val="842"/>
          <w:sz w:val="28"/>
          <w:szCs w:val="28"/>
        </w:rPr>
        <w:t xml:space="preserve">фициальный сайт организатора отбора: </w:t>
      </w:r>
      <w:hyperlink r:id="rId9" w:tooltip="https://nn-grad.ru" w:history="1">
        <w:r>
          <w:rPr>
            <w:rStyle w:val="832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832"/>
            <w:color w:val="auto"/>
            <w:sz w:val="28"/>
            <w:szCs w:val="28"/>
          </w:rPr>
          <w:t xml:space="preserve">://</w:t>
        </w:r>
        <w:r>
          <w:rPr>
            <w:rStyle w:val="832"/>
            <w:color w:val="auto"/>
            <w:sz w:val="28"/>
            <w:szCs w:val="28"/>
            <w:lang w:val="en-US"/>
          </w:rPr>
          <w:t xml:space="preserve">nn</w:t>
        </w:r>
        <w:r>
          <w:rPr>
            <w:rStyle w:val="832"/>
            <w:color w:val="auto"/>
            <w:sz w:val="28"/>
            <w:szCs w:val="28"/>
          </w:rPr>
          <w:t xml:space="preserve">-</w:t>
        </w:r>
        <w:r>
          <w:rPr>
            <w:rStyle w:val="832"/>
            <w:color w:val="auto"/>
            <w:sz w:val="28"/>
            <w:szCs w:val="28"/>
            <w:lang w:val="en-US"/>
          </w:rPr>
          <w:t xml:space="preserve">grad</w:t>
        </w:r>
        <w:r>
          <w:rPr>
            <w:rStyle w:val="832"/>
            <w:color w:val="auto"/>
            <w:sz w:val="28"/>
            <w:szCs w:val="28"/>
          </w:rPr>
          <w:t xml:space="preserve">.</w:t>
        </w:r>
        <w:r>
          <w:rPr>
            <w:rStyle w:val="832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2"/>
          <w:sz w:val="28"/>
          <w:szCs w:val="28"/>
        </w:rPr>
        <w:t xml:space="preserve">   </w:t>
      </w:r>
      <w:r>
        <w:rPr>
          <w:rStyle w:val="842"/>
          <w:sz w:val="28"/>
          <w:szCs w:val="28"/>
        </w:rPr>
        <w:t xml:space="preserve">-адрес электронной почты:</w:t>
      </w:r>
      <w:r>
        <w:rPr>
          <w:rStyle w:val="842"/>
          <w:sz w:val="28"/>
          <w:szCs w:val="28"/>
        </w:rPr>
        <w:t xml:space="preserve"> </w:t>
      </w:r>
      <w:hyperlink r:id="rId10" w:tooltip="mailto:yarmarka.pl.gorkogo@yandex.ru" w:history="1">
        <w:r>
          <w:rPr>
            <w:rStyle w:val="832"/>
            <w:sz w:val="28"/>
            <w:szCs w:val="28"/>
          </w:rPr>
          <w:t xml:space="preserve">yarmarka.pl.gorkogo@yandex.ru</w:t>
        </w:r>
      </w:hyperlink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/>
        <w:rPr>
          <w:rStyle w:val="842"/>
          <w:sz w:val="28"/>
          <w:szCs w:val="28"/>
        </w:rPr>
      </w:pPr>
      <w:r>
        <w:rPr>
          <w:sz w:val="28"/>
          <w:szCs w:val="28"/>
        </w:rPr>
      </w:r>
      <w:r>
        <w:rPr>
          <w:rStyle w:val="842"/>
          <w:sz w:val="28"/>
          <w:szCs w:val="28"/>
        </w:rPr>
      </w:r>
      <w:r>
        <w:rPr>
          <w:rStyle w:val="842"/>
          <w:sz w:val="28"/>
          <w:szCs w:val="28"/>
        </w:rPr>
      </w:r>
    </w:p>
    <w:p>
      <w:pPr>
        <w:pStyle w:val="837"/>
        <w:ind w:firstLine="60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Предмет конкурсного отбора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участников разовой </w:t>
      </w:r>
      <w:r>
        <w:rPr>
          <w:sz w:val="28"/>
          <w:szCs w:val="28"/>
        </w:rPr>
        <w:t xml:space="preserve">ярмарки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изделий мастеров народных художественных промыслов</w:t>
      </w:r>
      <w:r>
        <w:rPr>
          <w:sz w:val="28"/>
          <w:szCs w:val="28"/>
        </w:rPr>
        <w:t xml:space="preserve"> и декоративно-прикладного и</w:t>
      </w:r>
      <w:r>
        <w:rPr>
          <w:sz w:val="28"/>
          <w:szCs w:val="28"/>
        </w:rPr>
        <w:t xml:space="preserve">скусства «Секреты мастеров»-2024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9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Адрес места размещения конкурсной документации: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709"/>
        <w:jc w:val="both"/>
        <w:tabs>
          <w:tab w:val="left" w:pos="709" w:leader="none"/>
        </w:tabs>
        <w:rPr>
          <w:rStyle w:val="84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документация к конкурсному отбору претендентов на участие в ярмарке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документация) и извещение о проведении конкурсного отбора претендентов на участие в ярмарке (далее – извещение) размещается на официальном сайте </w:t>
      </w:r>
      <w:r>
        <w:rPr>
          <w:rStyle w:val="842"/>
          <w:rFonts w:ascii="Times New Roman" w:hAnsi="Times New Roman" w:cs="Times New Roman"/>
          <w:sz w:val="28"/>
          <w:szCs w:val="28"/>
        </w:rPr>
        <w:t xml:space="preserve">администрации города Нижнего Новгорода (</w:t>
      </w:r>
      <w:hyperlink r:id="rId11" w:tooltip="https://admgor.nnov.ru/" w:history="1">
        <w:r>
          <w:rPr>
            <w:rStyle w:val="832"/>
            <w:rFonts w:ascii="Times New Roman" w:hAnsi="Times New Roman" w:cs="Times New Roman"/>
            <w:color w:val="auto"/>
            <w:sz w:val="28"/>
            <w:szCs w:val="28"/>
          </w:rPr>
          <w:t xml:space="preserve">https://admgor.nnov.ru/</w:t>
        </w:r>
      </w:hyperlink>
      <w:r>
        <w:rPr>
          <w:rStyle w:val="842"/>
          <w:rFonts w:ascii="Times New Roman" w:hAnsi="Times New Roman" w:cs="Times New Roman"/>
          <w:sz w:val="28"/>
          <w:szCs w:val="28"/>
        </w:rPr>
        <w:t xml:space="preserve">).</w:t>
      </w:r>
      <w:r>
        <w:rPr>
          <w:rStyle w:val="842"/>
          <w:rFonts w:ascii="Times New Roman" w:hAnsi="Times New Roman" w:cs="Times New Roman"/>
          <w:sz w:val="28"/>
          <w:szCs w:val="28"/>
        </w:rPr>
      </w:r>
      <w:r>
        <w:rPr>
          <w:rStyle w:val="842"/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Ассортимент реализуемых товаров на разовой ярмарке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«Секреты мастеров»-2024:</w:t>
      </w:r>
      <w:r>
        <w:rPr>
          <w:sz w:val="28"/>
          <w:szCs w:val="28"/>
        </w:rPr>
        <w:t xml:space="preserve"> изделия нижегородских мастеров народных художественных промыслов и декоративно-прикла</w:t>
      </w:r>
      <w:r>
        <w:rPr>
          <w:sz w:val="28"/>
          <w:szCs w:val="28"/>
        </w:rPr>
        <w:t xml:space="preserve">дного искусства</w:t>
      </w:r>
      <w:r>
        <w:rPr>
          <w:sz w:val="28"/>
          <w:szCs w:val="28"/>
        </w:rPr>
        <w:t xml:space="preserve">, а также</w:t>
      </w:r>
      <w:r>
        <w:rPr>
          <w:sz w:val="28"/>
          <w:szCs w:val="28"/>
        </w:rPr>
        <w:t xml:space="preserve"> продукты питания российских производителей.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торговых мест для продажи товаров на ярмарке в соответствии со схемой их размещения: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/>
        <w:ind w:left="0" w:firstLine="709"/>
        <w:jc w:val="both"/>
        <w:spacing w:before="0" w:after="0" w:line="240" w:lineRule="auto"/>
        <w:tabs>
          <w:tab w:val="left" w:pos="1276" w:leader="none"/>
        </w:tabs>
        <w:rPr>
          <w:rFonts w:ascii="Times New Roman" w:hAnsi="Times New Roman" w:cs="Times New Roman"/>
          <w:spacing w:val="2"/>
          <w:sz w:val="28"/>
          <w:szCs w:val="28"/>
        </w:rPr>
        <w:suppressLineNumbers w:val="0"/>
      </w:pPr>
      <w:r>
        <w:rPr>
          <w:spacing w:val="2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 xml:space="preserve">Торговые места размещаются в ярмарочных павильонах: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размером 2х3 (11 штук, торговые места в одном павильоне - 2), размером 3х3 (8 штук, торговые места в одном павильоне – 3) и размером 4,5х6 (2 штуки, торговые места в одном павильоне – 6).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Схема размещения торговых мест для продажи товаров на разовой ярмарке </w:t>
      </w:r>
      <w:r>
        <w:rPr>
          <w:b/>
          <w:sz w:val="28"/>
          <w:szCs w:val="28"/>
        </w:rPr>
        <w:t xml:space="preserve">«Секреты мастеров»-2024:</w:t>
      </w:r>
      <w:r>
        <w:rPr>
          <w:sz w:val="28"/>
          <w:szCs w:val="28"/>
        </w:rPr>
        <w:t xml:space="preserve"> в соответствии с приложением №</w:t>
      </w:r>
      <w:r>
        <w:rPr>
          <w:sz w:val="28"/>
          <w:szCs w:val="28"/>
        </w:rPr>
        <w:t xml:space="preserve">1 к настоящей конкурсной документации</w:t>
      </w:r>
      <w:r>
        <w:rPr>
          <w:sz w:val="28"/>
          <w:szCs w:val="28"/>
        </w:rPr>
        <w:t xml:space="preserve"> (1 лист).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Сведения о размере платы за участие</w:t>
      </w:r>
      <w:r>
        <w:rPr>
          <w:sz w:val="28"/>
          <w:szCs w:val="28"/>
        </w:rPr>
        <w:t xml:space="preserve">: разовая ярмарка «Секреты мастеров»-2024 проводится для ее участников </w:t>
      </w:r>
      <w:r>
        <w:rPr>
          <w:b/>
          <w:sz w:val="28"/>
          <w:szCs w:val="28"/>
        </w:rPr>
        <w:t xml:space="preserve">на платной</w:t>
      </w:r>
      <w:r>
        <w:rPr>
          <w:b/>
          <w:sz w:val="28"/>
          <w:szCs w:val="28"/>
        </w:rPr>
        <w:t xml:space="preserve"> основе.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Сроки, место и порядок предоставления конкурсной документации: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 </w:t>
      </w:r>
      <w:r>
        <w:rPr>
          <w:rStyle w:val="841"/>
          <w:sz w:val="28"/>
          <w:szCs w:val="28"/>
        </w:rPr>
        <w:t xml:space="preserve">вправе в письменной форме обратиться к организатору отбора с просьбой о предоставлении конкурсной документации в течение срока приема заявок. Предоставление конкурсной документации осуществляется без внесения платы.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размещения на официальном сайте извещения, на основании письменного запроса заинтересованного лица, либо в форме электронного документа организатором отбора в течение двух рабочих дней, с даты получения соответствующего </w:t>
      </w:r>
      <w:r>
        <w:rPr>
          <w:sz w:val="28"/>
          <w:szCs w:val="28"/>
        </w:rPr>
        <w:t xml:space="preserve">запроса предоставляется</w:t>
      </w:r>
      <w:r>
        <w:rPr>
          <w:sz w:val="28"/>
          <w:szCs w:val="28"/>
        </w:rPr>
        <w:t xml:space="preserve"> конкурсная документация одним из способов: в письменной форме, в форме электронного документа на внешнем носителе информации заинтересованного лица, либо на электронную почту заинтересованного лица (</w:t>
      </w:r>
      <w:r>
        <w:rPr>
          <w:sz w:val="28"/>
          <w:szCs w:val="28"/>
        </w:rPr>
        <w:t xml:space="preserve">по адресу,</w:t>
      </w:r>
      <w:r>
        <w:rPr>
          <w:sz w:val="28"/>
          <w:szCs w:val="28"/>
        </w:rPr>
        <w:t xml:space="preserve"> указанному в запросе).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>
        <w:rPr>
          <w:rStyle w:val="841"/>
          <w:sz w:val="28"/>
          <w:szCs w:val="28"/>
        </w:rPr>
        <w:t xml:space="preserve">конкурсной документации</w:t>
      </w:r>
      <w:r>
        <w:rPr>
          <w:sz w:val="28"/>
          <w:szCs w:val="28"/>
        </w:rPr>
        <w:t xml:space="preserve"> до размещения на официальном сайте извещения о проведении конкурсного отбора претендентов на участие в ярмарке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Формы, порядок, дата начала и окончания срока представления заявителям разъяснений положений конкурсной документации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 дня размещения на официальном сайте извещения о проведении конкурсного отбора претендентов на участие в ярмарке, на основании письменного запроса заинтересованного лица или запроса в форме электронного документа, </w:t>
      </w:r>
      <w:r>
        <w:rPr>
          <w:rStyle w:val="841"/>
          <w:sz w:val="28"/>
          <w:szCs w:val="28"/>
        </w:rPr>
        <w:t xml:space="preserve">в течение срока приема заявок, </w:t>
      </w:r>
      <w:r>
        <w:rPr>
          <w:rFonts w:eastAsia="Calibri"/>
          <w:bCs/>
          <w:sz w:val="28"/>
          <w:szCs w:val="28"/>
        </w:rPr>
        <w:t xml:space="preserve">вправе направить организатору отбора запрос о разъяснении положений конкурсной документации.</w:t>
      </w:r>
      <w:r>
        <w:rPr>
          <w:rFonts w:eastAsia="Calibri"/>
          <w:bCs/>
          <w:sz w:val="28"/>
          <w:szCs w:val="28"/>
        </w:rPr>
        <w:t xml:space="preserve"> В течение двух рабочих дней со дня поступления указанного запроса организатор отбора обязан направить разъяснения положений конкурсной документации, но не позднее даты, предшествующей дате рассмотрения заявок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претендентам на участие в конкурсном </w:t>
      </w:r>
      <w:r>
        <w:rPr>
          <w:b/>
          <w:bCs/>
          <w:sz w:val="28"/>
          <w:szCs w:val="28"/>
        </w:rPr>
        <w:t xml:space="preserve">отборе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конкурсном отборе допускаются юридические лица или индивидуальные предприниматели, </w:t>
      </w:r>
      <w:r>
        <w:rPr>
          <w:sz w:val="28"/>
          <w:szCs w:val="28"/>
        </w:rPr>
        <w:t xml:space="preserve">физические лица, применяющих специальный налоговый режим «Налог на профессиональный доход» </w:t>
      </w:r>
      <w:r>
        <w:rPr>
          <w:sz w:val="28"/>
          <w:szCs w:val="28"/>
        </w:rPr>
        <w:t xml:space="preserve">зарегистрированные в установленном законодательством Российской Федерации порядке</w:t>
      </w:r>
      <w:r>
        <w:rPr>
          <w:sz w:val="28"/>
          <w:szCs w:val="28"/>
        </w:rPr>
        <w:t xml:space="preserve">, производящие и реализующие продукцию собственного производства и не занимающиеся перепродажей товаров.</w:t>
      </w:r>
      <w:bookmarkStart w:id="0" w:name="sub_1033"/>
      <w:r>
        <w:rPr>
          <w:sz w:val="28"/>
          <w:szCs w:val="28"/>
        </w:rPr>
        <w:t xml:space="preserve">                                                     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Претенденты имеют право участвовать в </w:t>
      </w:r>
      <w:r>
        <w:rPr>
          <w:sz w:val="28"/>
          <w:szCs w:val="28"/>
        </w:rPr>
        <w:t xml:space="preserve">процедурах</w:t>
      </w:r>
      <w:r>
        <w:rPr>
          <w:sz w:val="28"/>
          <w:szCs w:val="28"/>
        </w:rPr>
        <w:t xml:space="preserve">, связанных с участием в конкурсном отборе, как непосредственно, так и через своих представителей. Полномочия представителей подтверждаются доверенностью, выданной и оформленной в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гражданским законодательством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заявок на участие в конкурсном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отборе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</w:pPr>
      <w:r>
        <w:rPr>
          <w:rStyle w:val="841"/>
          <w:sz w:val="28"/>
          <w:szCs w:val="28"/>
        </w:rPr>
        <w:t xml:space="preserve">Заявка на участие в конкурсном </w:t>
      </w:r>
      <w:r>
        <w:rPr>
          <w:rStyle w:val="841"/>
          <w:sz w:val="28"/>
          <w:szCs w:val="28"/>
        </w:rPr>
        <w:t xml:space="preserve">отборе</w:t>
      </w:r>
      <w:r>
        <w:rPr>
          <w:rStyle w:val="841"/>
          <w:sz w:val="28"/>
          <w:szCs w:val="28"/>
        </w:rPr>
        <w:t xml:space="preserve"> с прилагаемыми к ней документами (далее - Заявка) прин</w:t>
      </w:r>
      <w:r>
        <w:rPr>
          <w:rStyle w:val="841"/>
          <w:sz w:val="28"/>
          <w:szCs w:val="28"/>
        </w:rPr>
        <w:t xml:space="preserve">имается организатором отбора </w:t>
      </w:r>
      <w:r>
        <w:rPr>
          <w:rStyle w:val="841"/>
          <w:sz w:val="28"/>
          <w:szCs w:val="28"/>
        </w:rPr>
        <w:t xml:space="preserve">н</w:t>
      </w:r>
      <w:r>
        <w:rPr>
          <w:rStyle w:val="841"/>
          <w:bCs/>
          <w:sz w:val="28"/>
          <w:szCs w:val="28"/>
        </w:rPr>
        <w:t xml:space="preserve">а адрес электронной почты:</w:t>
      </w:r>
      <w:r>
        <w:rPr>
          <w:rStyle w:val="841"/>
          <w:bCs/>
          <w:sz w:val="28"/>
          <w:szCs w:val="28"/>
        </w:rPr>
        <w:t xml:space="preserve"> </w:t>
      </w:r>
      <w:hyperlink r:id="rId12" w:tooltip="mailto:yarmarka.pl.gorkogo@yandex.ru" w:history="1">
        <w:r>
          <w:rPr>
            <w:rStyle w:val="832"/>
            <w:sz w:val="28"/>
            <w:szCs w:val="28"/>
          </w:rPr>
          <w:t xml:space="preserve">yarmarka.pl.gorkogo@yandex.ru</w:t>
        </w:r>
      </w:hyperlink>
      <w:r/>
      <w:r/>
    </w:p>
    <w:p>
      <w:pPr>
        <w:ind w:firstLine="708"/>
      </w:pPr>
      <w:r>
        <w:rPr>
          <w:rStyle w:val="841"/>
          <w:bCs/>
          <w:sz w:val="28"/>
          <w:szCs w:val="28"/>
        </w:rPr>
        <w:t xml:space="preserve">При этом датой начала ср</w:t>
      </w:r>
      <w:r>
        <w:rPr>
          <w:rStyle w:val="841"/>
          <w:bCs/>
          <w:sz w:val="28"/>
          <w:szCs w:val="28"/>
        </w:rPr>
        <w:t xml:space="preserve">ока подачи заявок является дата</w:t>
      </w:r>
      <w:r>
        <w:rPr>
          <w:rStyle w:val="841"/>
          <w:bCs/>
          <w:sz w:val="28"/>
          <w:szCs w:val="28"/>
        </w:rPr>
        <w:t xml:space="preserve">, указанная в извещении</w:t>
      </w:r>
      <w:r>
        <w:rPr>
          <w:rStyle w:val="841"/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В </w:t>
      </w:r>
      <w:r>
        <w:rPr>
          <w:rStyle w:val="841"/>
          <w:bCs/>
          <w:sz w:val="28"/>
          <w:szCs w:val="28"/>
        </w:rPr>
        <w:t xml:space="preserve">извещении</w:t>
      </w:r>
      <w:r>
        <w:rPr>
          <w:rStyle w:val="841"/>
          <w:bCs/>
          <w:sz w:val="28"/>
          <w:szCs w:val="28"/>
        </w:rPr>
        <w:t xml:space="preserve"> также</w:t>
      </w:r>
      <w:r>
        <w:rPr>
          <w:rStyle w:val="841"/>
          <w:bCs/>
          <w:sz w:val="28"/>
          <w:szCs w:val="28"/>
        </w:rPr>
        <w:t xml:space="preserve"> указывается: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- срок и место приема документов от претендентов;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- дата, время и место проведение конкурсного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- место проведения ярмарки (адресное обозначение, границы улиц, дорог, проездов, иные ориентиры, относительно которых предполагается расположить ярмарку);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- схема </w:t>
      </w:r>
      <w:r>
        <w:rPr>
          <w:rStyle w:val="841"/>
          <w:bCs/>
          <w:sz w:val="28"/>
          <w:szCs w:val="28"/>
        </w:rPr>
        <w:t xml:space="preserve">размещения торговых мест</w:t>
      </w:r>
      <w:r>
        <w:rPr>
          <w:rStyle w:val="841"/>
          <w:bCs/>
          <w:sz w:val="28"/>
          <w:szCs w:val="28"/>
        </w:rPr>
        <w:t xml:space="preserve"> на ярмарке;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- перечень документов, необходимых для участия в конкурсном </w:t>
      </w:r>
      <w:r>
        <w:rPr>
          <w:rStyle w:val="841"/>
          <w:bCs/>
          <w:sz w:val="28"/>
          <w:szCs w:val="28"/>
        </w:rPr>
        <w:t xml:space="preserve">отборе</w:t>
      </w:r>
      <w:r>
        <w:rPr>
          <w:rStyle w:val="841"/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-дата размещения извещения на официальной странице (сайте) организатора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Извещение размещается</w:t>
      </w:r>
      <w:r>
        <w:rPr>
          <w:sz w:val="28"/>
          <w:szCs w:val="28"/>
        </w:rPr>
        <w:t xml:space="preserve"> на официальном сайте </w:t>
      </w:r>
      <w:r>
        <w:rPr>
          <w:rStyle w:val="842"/>
          <w:sz w:val="28"/>
          <w:szCs w:val="28"/>
        </w:rPr>
        <w:t xml:space="preserve">администрации города Нижнего Новгорода (</w:t>
      </w:r>
      <w:hyperlink r:id="rId13" w:tooltip="https://admgor.nnov.ru/" w:history="1">
        <w:r>
          <w:rPr>
            <w:rStyle w:val="832"/>
            <w:color w:val="auto"/>
            <w:sz w:val="28"/>
            <w:szCs w:val="28"/>
          </w:rPr>
          <w:t xml:space="preserve">https://admgor.nnov.ru/</w:t>
        </w:r>
      </w:hyperlink>
      <w:r>
        <w:rPr>
          <w:rStyle w:val="842"/>
          <w:sz w:val="28"/>
          <w:szCs w:val="28"/>
        </w:rPr>
        <w:t xml:space="preserve">)</w:t>
      </w:r>
      <w:r>
        <w:rPr>
          <w:rStyle w:val="841"/>
          <w:bCs/>
          <w:sz w:val="28"/>
          <w:szCs w:val="28"/>
        </w:rPr>
        <w:t xml:space="preserve">, не менее чем за 10 календарных дней до даты окончания срока приема заявок на участие </w:t>
      </w:r>
      <w:r>
        <w:rPr>
          <w:rStyle w:val="841"/>
          <w:sz w:val="28"/>
          <w:szCs w:val="28"/>
        </w:rPr>
        <w:t xml:space="preserve">в конкурсном отборе</w:t>
      </w:r>
      <w:r>
        <w:rPr>
          <w:rStyle w:val="841"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41"/>
          <w:bCs/>
          <w:sz w:val="28"/>
          <w:szCs w:val="28"/>
        </w:rPr>
        <w:t xml:space="preserve">Организатор отбора </w:t>
      </w:r>
      <w:r>
        <w:rPr>
          <w:rStyle w:val="841"/>
          <w:bCs/>
          <w:sz w:val="28"/>
          <w:szCs w:val="28"/>
        </w:rPr>
        <w:t xml:space="preserve">при</w:t>
      </w:r>
      <w:r>
        <w:rPr>
          <w:rStyle w:val="841"/>
          <w:bCs/>
          <w:sz w:val="28"/>
          <w:szCs w:val="28"/>
        </w:rPr>
        <w:t xml:space="preserve"> поступлени</w:t>
      </w:r>
      <w:r>
        <w:rPr>
          <w:rStyle w:val="841"/>
          <w:bCs/>
          <w:sz w:val="28"/>
          <w:szCs w:val="28"/>
        </w:rPr>
        <w:t xml:space="preserve">и</w:t>
      </w:r>
      <w:r>
        <w:rPr>
          <w:rStyle w:val="841"/>
          <w:bCs/>
          <w:sz w:val="28"/>
          <w:szCs w:val="28"/>
        </w:rPr>
        <w:t xml:space="preserve"> заявок с прилагаемыми документами регистрирует их в журнале заявок под порядковым номером с указанием даты и точного времени ее предоставления (часы и минуты) во избежание совпадения этого времени со временем предоставления других заявок.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отбора при приеме заявок </w:t>
      </w:r>
      <w:r>
        <w:rPr>
          <w:rFonts w:ascii="Times New Roman" w:hAnsi="Times New Roman" w:cs="Times New Roman"/>
          <w:sz w:val="28"/>
          <w:szCs w:val="28"/>
        </w:rPr>
        <w:t xml:space="preserve">проверяет их соответствие Критериям</w:t>
      </w:r>
      <w:r>
        <w:rPr>
          <w:rFonts w:ascii="Times New Roman" w:hAnsi="Times New Roman" w:cs="Times New Roman"/>
          <w:sz w:val="28"/>
          <w:szCs w:val="28"/>
        </w:rPr>
        <w:t xml:space="preserve"> отбора участников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конкурсной документации). Заявки, соответствующие Критериям отбора участников, фиксируются в </w:t>
      </w:r>
      <w:r>
        <w:rPr>
          <w:rFonts w:ascii="Times New Roman" w:hAnsi="Times New Roman" w:cs="Times New Roman"/>
          <w:sz w:val="28"/>
          <w:szCs w:val="28"/>
        </w:rPr>
        <w:t xml:space="preserve"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заявок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проверя</w:t>
      </w:r>
      <w:r>
        <w:rPr>
          <w:rFonts w:ascii="Times New Roman" w:hAnsi="Times New Roman" w:cs="Times New Roman"/>
          <w:sz w:val="28"/>
          <w:szCs w:val="28"/>
        </w:rPr>
        <w:t xml:space="preserve">ются на</w:t>
      </w:r>
      <w:r>
        <w:rPr>
          <w:rFonts w:ascii="Times New Roman" w:hAnsi="Times New Roman" w:cs="Times New Roman"/>
          <w:sz w:val="28"/>
          <w:szCs w:val="28"/>
        </w:rPr>
        <w:t xml:space="preserve"> полноту комплектов представляемых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по итогам проверки </w:t>
      </w:r>
      <w:r>
        <w:rPr>
          <w:rFonts w:ascii="Times New Roman" w:hAnsi="Times New Roman" w:cs="Times New Roman"/>
          <w:sz w:val="28"/>
          <w:szCs w:val="28"/>
        </w:rPr>
        <w:t xml:space="preserve">принима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заявки на участие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приеме заявки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приеме заявок в течение трех рабочих дней со дня рассмотрения заявки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 xml:space="preserve">уведомляет претендента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Организатор отбора отказывает претенденту в </w:t>
      </w:r>
      <w:r>
        <w:rPr>
          <w:rFonts w:eastAsia="Calibri"/>
          <w:sz w:val="28"/>
          <w:szCs w:val="28"/>
        </w:rPr>
        <w:t xml:space="preserve">приеме</w:t>
      </w:r>
      <w:r>
        <w:rPr>
          <w:rFonts w:eastAsia="Calibri"/>
          <w:sz w:val="28"/>
          <w:szCs w:val="28"/>
        </w:rPr>
        <w:t xml:space="preserve"> заявки в случаях, если: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 заявка подана </w:t>
      </w:r>
      <w:r>
        <w:rPr>
          <w:rFonts w:eastAsia="Calibri"/>
          <w:sz w:val="28"/>
          <w:szCs w:val="28"/>
        </w:rPr>
        <w:t xml:space="preserve">до начала времени приема заявок или </w:t>
      </w:r>
      <w:r>
        <w:rPr>
          <w:rFonts w:eastAsia="Calibri"/>
          <w:sz w:val="28"/>
          <w:szCs w:val="28"/>
        </w:rPr>
        <w:t xml:space="preserve">по истечении времени, указанного в извещении;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заявка по типу, специализации места не соответствует настоящей конкурсной документации;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представлен неполный комплект документов, прилагаемый к заявлению.        </w:t>
      </w:r>
      <w:bookmarkStart w:id="1" w:name="sub_1051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Заявка, поданная юридическим лицом, должна быть подписана лицом,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, поданная индивидуальным предпринимателем, должна быть подписана индивидуальным предпринимателем либо лицом, полномочия которого подтверждаются доверенностью.</w:t>
      </w:r>
      <w:bookmarkStart w:id="2" w:name="sub_1052"/>
      <w:r/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Документы, направленные претендентом, должны содержать опись, быть пронумерованы, </w:t>
      </w:r>
      <w:r>
        <w:rPr>
          <w:rFonts w:eastAsia="Calibri"/>
          <w:sz w:val="28"/>
          <w:szCs w:val="28"/>
        </w:rPr>
        <w:t xml:space="preserve">подписаны претендентом и при наличии печати заверены</w:t>
      </w:r>
      <w:r>
        <w:rPr>
          <w:rFonts w:eastAsia="Calibri"/>
          <w:sz w:val="28"/>
          <w:szCs w:val="28"/>
        </w:rPr>
        <w:t xml:space="preserve"> печатью претендента.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Каждый претендент имеет возможность подать </w:t>
      </w:r>
      <w:r>
        <w:rPr>
          <w:rFonts w:eastAsia="Calibri"/>
          <w:b/>
          <w:sz w:val="28"/>
          <w:szCs w:val="28"/>
        </w:rPr>
        <w:t xml:space="preserve">одну заявку </w:t>
      </w:r>
      <w:r>
        <w:rPr>
          <w:rStyle w:val="841"/>
          <w:rFonts w:eastAsia="Calibri"/>
          <w:b/>
          <w:sz w:val="28"/>
          <w:szCs w:val="28"/>
        </w:rPr>
        <w:t xml:space="preserve">на участие</w:t>
      </w:r>
      <w:r>
        <w:rPr>
          <w:rStyle w:val="841"/>
          <w:rFonts w:eastAsia="Calibri"/>
          <w:sz w:val="28"/>
          <w:szCs w:val="28"/>
        </w:rPr>
        <w:t xml:space="preserve"> в конкурсном </w:t>
      </w:r>
      <w:r>
        <w:rPr>
          <w:rStyle w:val="841"/>
          <w:rFonts w:eastAsia="Calibri"/>
          <w:sz w:val="28"/>
          <w:szCs w:val="28"/>
        </w:rPr>
        <w:t xml:space="preserve">отборе</w:t>
      </w:r>
      <w:r>
        <w:rPr>
          <w:rStyle w:val="841"/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highlight w:val="none"/>
        </w:rPr>
      </w:r>
      <w:r>
        <w:rPr>
          <w:rFonts w:eastAsia="Calibri"/>
          <w:b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  <w:highlight w:val="none"/>
        </w:rPr>
      </w:r>
      <w:r>
        <w:rPr>
          <w:rFonts w:eastAsia="Calibri"/>
          <w:b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</w:rPr>
        <w:t xml:space="preserve">Перечень документов для участия в Конкурсном </w:t>
      </w:r>
      <w:r>
        <w:rPr>
          <w:rFonts w:eastAsia="Calibri"/>
          <w:b/>
          <w:sz w:val="28"/>
          <w:szCs w:val="28"/>
        </w:rPr>
        <w:t xml:space="preserve">отборе</w:t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конкурсном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претенденты направляют организатору отбора заявку </w:t>
      </w:r>
      <w:r>
        <w:rPr>
          <w:sz w:val="28"/>
          <w:szCs w:val="28"/>
        </w:rPr>
        <w:t xml:space="preserve"> с приложением обязательных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об участии в конкурсном отбор</w:t>
      </w:r>
      <w:r>
        <w:rPr>
          <w:sz w:val="28"/>
          <w:szCs w:val="28"/>
        </w:rPr>
        <w:t xml:space="preserve">е по форме согласно Приложению 2</w:t>
      </w:r>
      <w:r>
        <w:rPr>
          <w:sz w:val="28"/>
          <w:szCs w:val="28"/>
        </w:rPr>
        <w:t xml:space="preserve"> к настоящей конкурсной документации.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00"/>
        <w:jc w:val="both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</w:t>
      </w:r>
      <w:r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Перечень видов товаров,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реализуемых </w:t>
      </w:r>
      <w:r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 xml:space="preserve">на ярмарке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37"/>
        <w:ind w:firstLine="600"/>
        <w:jc w:val="both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  Фото товаров, реализуемых заявителем на ярмарке.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Порядок и срок отзыва заявок на </w:t>
      </w:r>
      <w:r>
        <w:rPr>
          <w:rFonts w:eastAsia="Calibri"/>
          <w:b/>
          <w:bCs/>
          <w:sz w:val="28"/>
          <w:szCs w:val="28"/>
        </w:rPr>
        <w:t xml:space="preserve">участие в конкурсном </w:t>
      </w:r>
      <w:r>
        <w:rPr>
          <w:rFonts w:eastAsia="Calibri"/>
          <w:b/>
          <w:bCs/>
          <w:sz w:val="28"/>
          <w:szCs w:val="28"/>
        </w:rPr>
        <w:t xml:space="preserve">отборе</w:t>
      </w:r>
      <w:r>
        <w:rPr>
          <w:rFonts w:eastAsia="Calibri"/>
          <w:b/>
          <w:sz w:val="28"/>
          <w:szCs w:val="28"/>
        </w:rPr>
        <w:t xml:space="preserve"> и внесения в них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Претендент вправе изменить или отозвать заявку на участие в конкурсном </w:t>
      </w:r>
      <w:r>
        <w:rPr>
          <w:rFonts w:eastAsia="Calibri"/>
          <w:sz w:val="28"/>
          <w:szCs w:val="28"/>
        </w:rPr>
        <w:t xml:space="preserve">отборе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любое время, до начала срока рассмотрения</w:t>
      </w:r>
      <w:r>
        <w:rPr>
          <w:rFonts w:eastAsia="Calibri"/>
          <w:sz w:val="28"/>
          <w:szCs w:val="28"/>
        </w:rPr>
        <w:t xml:space="preserve"> заявок на участие в конкурсном отборе. Изменения в заявку или отзыв заявки подается в том же виде, что и заявка на участие в конкурсном отборе.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Порядок рассмотрения заявок об участии в конкурсном отборе конкурсной комиссией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истечении 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 рабочих дней после срока приема з</w:t>
      </w:r>
      <w:r>
        <w:rPr>
          <w:rFonts w:eastAsia="Calibri"/>
          <w:sz w:val="28"/>
          <w:szCs w:val="28"/>
        </w:rPr>
        <w:t xml:space="preserve">аявок, указанного в извещении 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конкурсном </w:t>
      </w:r>
      <w:bookmarkStart w:id="3" w:name="_GoBack"/>
      <w:r>
        <w:rPr>
          <w:rFonts w:eastAsia="Calibri"/>
          <w:sz w:val="28"/>
          <w:szCs w:val="28"/>
        </w:rPr>
        <w:t xml:space="preserve">отбор</w:t>
      </w:r>
      <w:bookmarkEnd w:id="3"/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организатор отбора передает для рассмотрения поступившие заявки в конкурсную комиссию, порядок и состав которой утверждается </w:t>
      </w:r>
      <w:r>
        <w:rPr>
          <w:rFonts w:eastAsia="Calibri"/>
          <w:sz w:val="28"/>
          <w:szCs w:val="28"/>
        </w:rPr>
        <w:t xml:space="preserve">приказом директора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Конкурсная комиссия проводит конкурсный </w:t>
      </w:r>
      <w:r>
        <w:rPr>
          <w:rFonts w:eastAsia="Calibri"/>
          <w:bCs/>
          <w:sz w:val="28"/>
          <w:szCs w:val="28"/>
        </w:rPr>
        <w:t xml:space="preserve">отбор</w:t>
      </w:r>
      <w:r>
        <w:rPr>
          <w:rFonts w:eastAsia="Calibri"/>
          <w:sz w:val="28"/>
          <w:szCs w:val="28"/>
        </w:rPr>
        <w:t xml:space="preserve"> заявок, направленных претендентами для участия в конкурсном </w:t>
      </w:r>
      <w:r>
        <w:rPr>
          <w:rFonts w:eastAsia="Calibri"/>
          <w:sz w:val="28"/>
          <w:szCs w:val="28"/>
        </w:rPr>
        <w:t xml:space="preserve">отборе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конкурсу допускаются претенденты, предоставившие полный пакет вышеуказанных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Конкурсный отбор проводится в день, время и в месте, </w:t>
      </w:r>
      <w:r>
        <w:rPr>
          <w:rFonts w:eastAsia="Calibri"/>
          <w:bCs/>
          <w:sz w:val="28"/>
          <w:szCs w:val="28"/>
        </w:rPr>
        <w:t xml:space="preserve">которые</w:t>
      </w:r>
      <w:r>
        <w:rPr>
          <w:rFonts w:eastAsia="Calibri"/>
          <w:bCs/>
          <w:sz w:val="28"/>
          <w:szCs w:val="28"/>
        </w:rPr>
        <w:t xml:space="preserve"> указаны</w:t>
      </w:r>
      <w:r>
        <w:rPr>
          <w:rFonts w:eastAsia="Calibri"/>
          <w:bCs/>
          <w:sz w:val="28"/>
          <w:szCs w:val="28"/>
        </w:rPr>
        <w:t xml:space="preserve"> в извещении о проведении конкурсного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Конкурсная комиссия осуществляет рассмотрение заявок в </w:t>
      </w:r>
      <w:r>
        <w:rPr>
          <w:rFonts w:eastAsia="Calibri"/>
          <w:sz w:val="28"/>
          <w:szCs w:val="28"/>
        </w:rPr>
        <w:t xml:space="preserve">соответствии</w:t>
      </w:r>
      <w:r>
        <w:rPr>
          <w:rFonts w:eastAsia="Calibri"/>
          <w:sz w:val="28"/>
          <w:szCs w:val="28"/>
        </w:rPr>
        <w:t xml:space="preserve"> с критериями: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Дата </w:t>
      </w:r>
      <w:r>
        <w:rPr>
          <w:rFonts w:eastAsia="Calibri"/>
          <w:bCs/>
          <w:sz w:val="28"/>
          <w:szCs w:val="28"/>
        </w:rPr>
        <w:t xml:space="preserve">и время </w:t>
      </w:r>
      <w:r>
        <w:rPr>
          <w:rFonts w:eastAsia="Calibri"/>
          <w:bCs/>
          <w:sz w:val="28"/>
          <w:szCs w:val="28"/>
        </w:rPr>
        <w:t xml:space="preserve">подачи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Соответствие информации, содержащейся в заявке, типу и специализации мест, определенных схемой размеще</w:t>
      </w:r>
      <w:r>
        <w:rPr>
          <w:rFonts w:eastAsia="Calibri"/>
          <w:bCs/>
          <w:sz w:val="28"/>
          <w:szCs w:val="28"/>
        </w:rPr>
        <w:t xml:space="preserve">ния торговых мест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Конкурсная комиссия</w:t>
      </w:r>
      <w:r>
        <w:rPr>
          <w:rFonts w:eastAsia="Calibri"/>
          <w:sz w:val="28"/>
          <w:szCs w:val="28"/>
        </w:rPr>
        <w:t xml:space="preserve"> принимает решение о признании претендентов участниками ярмарками и включении в </w:t>
      </w:r>
      <w:r>
        <w:rPr>
          <w:rFonts w:eastAsia="Calibri"/>
          <w:bCs/>
          <w:sz w:val="28"/>
          <w:szCs w:val="28"/>
        </w:rPr>
        <w:t xml:space="preserve">реестр участников ярмарки</w:t>
      </w:r>
      <w:r>
        <w:rPr>
          <w:rFonts w:eastAsia="Calibri"/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формируемый </w:t>
      </w:r>
      <w:r>
        <w:rPr>
          <w:rFonts w:eastAsia="Calibri"/>
          <w:bCs/>
          <w:sz w:val="28"/>
          <w:szCs w:val="28"/>
        </w:rPr>
        <w:t xml:space="preserve">в соответствии с очередностью поступивших заявок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случае</w:t>
      </w:r>
      <w:r>
        <w:rPr>
          <w:rFonts w:eastAsia="Calibri"/>
          <w:sz w:val="28"/>
          <w:szCs w:val="28"/>
        </w:rPr>
        <w:t xml:space="preserve">, если </w:t>
      </w:r>
      <w:r>
        <w:rPr>
          <w:rFonts w:eastAsia="Calibri"/>
          <w:sz w:val="28"/>
          <w:szCs w:val="28"/>
        </w:rPr>
        <w:t xml:space="preserve">количество претендентов превышает предложенное количество</w:t>
      </w:r>
      <w:r>
        <w:rPr>
          <w:rFonts w:eastAsia="Calibri"/>
          <w:sz w:val="28"/>
          <w:szCs w:val="28"/>
        </w:rPr>
        <w:t xml:space="preserve"> предоставляемых торговых мест</w:t>
      </w:r>
      <w:r>
        <w:rPr>
          <w:rFonts w:eastAsia="Calibri"/>
          <w:sz w:val="28"/>
          <w:szCs w:val="28"/>
        </w:rPr>
        <w:t xml:space="preserve">, определенн</w:t>
      </w:r>
      <w:r>
        <w:rPr>
          <w:rFonts w:eastAsia="Calibri"/>
          <w:sz w:val="28"/>
          <w:szCs w:val="28"/>
        </w:rPr>
        <w:t xml:space="preserve">ое</w:t>
      </w:r>
      <w:r>
        <w:rPr>
          <w:rFonts w:eastAsia="Calibri"/>
          <w:sz w:val="28"/>
          <w:szCs w:val="28"/>
        </w:rPr>
        <w:t xml:space="preserve"> схемой, места предоставляются </w:t>
      </w:r>
      <w:r>
        <w:rPr>
          <w:rFonts w:eastAsia="Calibri"/>
          <w:b/>
          <w:sz w:val="28"/>
          <w:szCs w:val="28"/>
        </w:rPr>
        <w:t xml:space="preserve">в соответствии с очередностью поступивших заявок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4" w:name="sub_1068"/>
      <w:r/>
      <w:bookmarkEnd w:id="4"/>
      <w:r>
        <w:rPr>
          <w:sz w:val="28"/>
          <w:szCs w:val="28"/>
        </w:rPr>
        <w:t xml:space="preserve">Р</w:t>
      </w:r>
      <w:bookmarkStart w:id="5" w:name="sub_1069"/>
      <w:r>
        <w:rPr>
          <w:sz w:val="28"/>
          <w:szCs w:val="28"/>
        </w:rPr>
        <w:t xml:space="preserve">ешение </w:t>
      </w:r>
      <w:r>
        <w:rPr>
          <w:rFonts w:eastAsia="Calibri"/>
          <w:sz w:val="28"/>
          <w:szCs w:val="28"/>
        </w:rPr>
        <w:t xml:space="preserve">о признании претендентов участниками ярмарки и о включении в реестр участников ярмарки оформляется протоколом рассмотрения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6" w:name="sub_10612"/>
      <w:r/>
      <w:bookmarkEnd w:id="5"/>
      <w:r>
        <w:rPr>
          <w:rFonts w:eastAsia="Calibri"/>
          <w:bCs/>
          <w:sz w:val="28"/>
          <w:szCs w:val="28"/>
        </w:rPr>
        <w:t xml:space="preserve">Протокол </w:t>
      </w:r>
      <w:r>
        <w:rPr>
          <w:rFonts w:eastAsia="Calibri"/>
          <w:sz w:val="28"/>
          <w:szCs w:val="28"/>
        </w:rPr>
        <w:t xml:space="preserve">рассмотрения заявок</w:t>
      </w:r>
      <w:r>
        <w:rPr>
          <w:rFonts w:eastAsia="Calibri"/>
          <w:bCs/>
          <w:sz w:val="28"/>
          <w:szCs w:val="28"/>
        </w:rPr>
        <w:t xml:space="preserve"> включает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-информацию </w:t>
      </w:r>
      <w:r>
        <w:rPr>
          <w:rFonts w:eastAsia="Calibri"/>
          <w:bCs/>
          <w:sz w:val="28"/>
          <w:szCs w:val="28"/>
        </w:rPr>
        <w:t xml:space="preserve">о</w:t>
      </w:r>
      <w:r>
        <w:rPr>
          <w:rFonts w:eastAsia="Calibri"/>
          <w:bCs/>
          <w:sz w:val="28"/>
          <w:szCs w:val="28"/>
        </w:rPr>
        <w:t xml:space="preserve"> всех заявителях, направивших и отозвавших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-о месте, дате, времени проведения заседания конкурсной комиссией, о присвоении заявкам порядковых номеров, а также результаты конкурсного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-информацию о заявителях, признанных участниками ярмарки и включенных в реестр участников ярмарки.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участники, включенные в реестр, уведомляются организатором ярмарки о принятом решении не позднее </w:t>
      </w:r>
      <w:r>
        <w:rPr>
          <w:rFonts w:ascii="Times New Roman" w:hAnsi="Times New Roman" w:cs="Times New Roman"/>
          <w:sz w:val="28"/>
          <w:szCs w:val="28"/>
        </w:rPr>
        <w:t xml:space="preserve">четырех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 Вместе с уведомлением направляется проект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мест на ярмарке, который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участником ярмарки 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организатору на электронный адрес, не позднее двух рабочих дней,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Style w:val="84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подписывается всеми присутствующими членами конкурсной комиссии в день рассмотрения заявок. Указанный протокол размещается организатором ярмарки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Style w:val="842"/>
          <w:rFonts w:ascii="Times New Roman" w:hAnsi="Times New Roman" w:cs="Times New Roman"/>
          <w:sz w:val="28"/>
          <w:szCs w:val="28"/>
        </w:rPr>
        <w:t xml:space="preserve">на официальном сайте администрации города Нижнего Новгорода (</w:t>
      </w:r>
      <w:hyperlink r:id="rId14" w:tooltip="https://admgor.nnov.ru/" w:history="1">
        <w:r>
          <w:rPr>
            <w:rStyle w:val="832"/>
            <w:rFonts w:ascii="Times New Roman" w:hAnsi="Times New Roman" w:cs="Times New Roman"/>
            <w:color w:val="auto"/>
            <w:sz w:val="28"/>
            <w:szCs w:val="28"/>
          </w:rPr>
          <w:t xml:space="preserve">https://admgor.nnov.ru/</w:t>
        </w:r>
      </w:hyperlink>
      <w:r>
        <w:rPr>
          <w:rStyle w:val="842"/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842"/>
          <w:rFonts w:ascii="Times New Roman" w:hAnsi="Times New Roman" w:cs="Times New Roman"/>
          <w:sz w:val="28"/>
          <w:szCs w:val="28"/>
        </w:rPr>
        <w:t xml:space="preserve">.</w:t>
      </w:r>
      <w:r>
        <w:rPr>
          <w:rStyle w:val="842"/>
          <w:rFonts w:ascii="Times New Roman" w:hAnsi="Times New Roman" w:cs="Times New Roman"/>
          <w:sz w:val="28"/>
          <w:szCs w:val="28"/>
        </w:rPr>
      </w:r>
      <w:r>
        <w:rPr>
          <w:rStyle w:val="842"/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случае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отказа заявителей от участия в ярмарке организатор ярмарки предоставляет торговые места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следующим участникам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ярмарки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порядке очередности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реестре участников ярмарки.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случае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если по окончании срока подачи заявок на участие в конкурсном отборе подана только одна заявка или не подано ни одной заявки, или ни один из заявителей не признан участником ярмарки, конкурсный отбор признается несостоявшимся.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614"/>
        <w:spacing w:before="2"/>
      </w:pPr>
      <w:r/>
      <w:r/>
    </w:p>
    <w:p>
      <w:pPr>
        <w:pStyle w:val="853"/>
        <w:ind w:left="720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991" w:bottom="1134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9"/>
    <w:link w:val="828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7"/>
    <w:next w:val="827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29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29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29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29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2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29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29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7"/>
    <w:next w:val="827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29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5"/>
    <w:uiPriority w:val="99"/>
  </w:style>
  <w:style w:type="character" w:styleId="682">
    <w:name w:val="Footer Char"/>
    <w:basedOn w:val="829"/>
    <w:link w:val="836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6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9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9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rFonts w:eastAsia="Times New Roman"/>
      <w:sz w:val="24"/>
      <w:szCs w:val="24"/>
    </w:rPr>
  </w:style>
  <w:style w:type="paragraph" w:styleId="828">
    <w:name w:val="Heading 1"/>
    <w:next w:val="827"/>
    <w:qFormat/>
    <w:pPr>
      <w:spacing w:beforeAutospacing="1" w:afterAutospacing="1"/>
      <w:outlineLvl w:val="0"/>
    </w:pPr>
    <w:rPr>
      <w:rFonts w:hint="eastAsia" w:ascii="SimSun" w:hAnsi="SimSun"/>
      <w:b/>
      <w:bCs/>
      <w:sz w:val="48"/>
      <w:szCs w:val="48"/>
      <w:lang w:val="en-US" w:eastAsia="zh-CN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>
    <w:name w:val="Hyperlink"/>
    <w:basedOn w:val="829"/>
    <w:rPr>
      <w:color w:val="0000ff"/>
      <w:u w:val="single"/>
    </w:rPr>
  </w:style>
  <w:style w:type="character" w:styleId="833">
    <w:name w:val="page number"/>
    <w:uiPriority w:val="67"/>
  </w:style>
  <w:style w:type="character" w:styleId="834">
    <w:name w:val="Strong"/>
    <w:basedOn w:val="829"/>
    <w:qFormat/>
    <w:rPr>
      <w:b/>
      <w:bCs/>
    </w:rPr>
  </w:style>
  <w:style w:type="paragraph" w:styleId="835">
    <w:name w:val="Header"/>
    <w:basedOn w:val="827"/>
    <w:uiPriority w:val="68"/>
    <w:pPr>
      <w:tabs>
        <w:tab w:val="center" w:pos="4677" w:leader="none"/>
        <w:tab w:val="right" w:pos="9355" w:leader="none"/>
      </w:tabs>
    </w:pPr>
  </w:style>
  <w:style w:type="paragraph" w:styleId="836">
    <w:name w:val="Footer"/>
    <w:basedOn w:val="827"/>
    <w:uiPriority w:val="67"/>
    <w:pPr>
      <w:tabs>
        <w:tab w:val="center" w:pos="4677" w:leader="none"/>
        <w:tab w:val="right" w:pos="9355" w:leader="none"/>
      </w:tabs>
    </w:pPr>
  </w:style>
  <w:style w:type="paragraph" w:styleId="837">
    <w:name w:val="Normal (Web)"/>
    <w:basedOn w:val="827"/>
    <w:uiPriority w:val="99"/>
    <w:unhideWhenUsed/>
    <w:qFormat/>
    <w:pPr>
      <w:spacing w:before="100" w:beforeAutospacing="1" w:after="100" w:afterAutospacing="1"/>
    </w:pPr>
  </w:style>
  <w:style w:type="table" w:styleId="838">
    <w:name w:val="Table Grid"/>
    <w:basedOn w:val="830"/>
    <w:qFormat/>
    <w:pPr>
      <w:jc w:val="both"/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customStyle="1">
    <w:name w:val="ConsPlusNormal"/>
    <w:uiPriority w:val="6"/>
    <w:qFormat/>
    <w:pPr>
      <w:ind w:firstLine="720"/>
      <w:widowControl w:val="off"/>
    </w:pPr>
    <w:rPr>
      <w:rFonts w:ascii="Arial" w:hAnsi="Arial" w:eastAsia="Arial" w:cs="Arial"/>
      <w:lang w:eastAsia="zh-CN"/>
    </w:rPr>
  </w:style>
  <w:style w:type="paragraph" w:styleId="840" w:customStyle="1">
    <w:name w:val="Рассылка"/>
    <w:basedOn w:val="827"/>
    <w:uiPriority w:val="68"/>
    <w:pPr>
      <w:ind w:left="2160" w:hanging="1440"/>
      <w:jc w:val="both"/>
      <w:tabs>
        <w:tab w:val="left" w:pos="2160" w:leader="none"/>
      </w:tabs>
    </w:pPr>
    <w:rPr>
      <w:sz w:val="26"/>
    </w:rPr>
  </w:style>
  <w:style w:type="character" w:styleId="841" w:customStyle="1">
    <w:name w:val="Основной шрифт абзаца1"/>
    <w:uiPriority w:val="67"/>
    <w:qFormat/>
  </w:style>
  <w:style w:type="character" w:styleId="842" w:customStyle="1">
    <w:name w:val="10"/>
    <w:basedOn w:val="829"/>
  </w:style>
  <w:style w:type="paragraph" w:styleId="843">
    <w:name w:val="List Paragraph"/>
    <w:basedOn w:val="827"/>
    <w:uiPriority w:val="1"/>
    <w:qFormat/>
    <w:pPr>
      <w:contextualSpacing/>
      <w:ind w:left="720"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4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5" w:customStyle="1">
    <w:name w:val="pt-a0-000042"/>
    <w:basedOn w:val="829"/>
  </w:style>
  <w:style w:type="character" w:styleId="846">
    <w:name w:val="annotation reference"/>
    <w:basedOn w:val="829"/>
    <w:semiHidden/>
    <w:unhideWhenUsed/>
    <w:rPr>
      <w:sz w:val="16"/>
      <w:szCs w:val="16"/>
    </w:rPr>
  </w:style>
  <w:style w:type="paragraph" w:styleId="847">
    <w:name w:val="annotation text"/>
    <w:basedOn w:val="827"/>
    <w:link w:val="848"/>
    <w:semiHidden/>
    <w:unhideWhenUsed/>
    <w:rPr>
      <w:sz w:val="20"/>
      <w:szCs w:val="20"/>
    </w:rPr>
  </w:style>
  <w:style w:type="character" w:styleId="848" w:customStyle="1">
    <w:name w:val="Текст примечания Знак"/>
    <w:basedOn w:val="829"/>
    <w:link w:val="847"/>
    <w:semiHidden/>
    <w:rPr>
      <w:rFonts w:eastAsia="Times New Roman"/>
    </w:rPr>
  </w:style>
  <w:style w:type="paragraph" w:styleId="849">
    <w:name w:val="annotation subject"/>
    <w:basedOn w:val="847"/>
    <w:next w:val="847"/>
    <w:link w:val="850"/>
    <w:semiHidden/>
    <w:unhideWhenUsed/>
    <w:rPr>
      <w:b/>
      <w:bCs/>
    </w:rPr>
  </w:style>
  <w:style w:type="character" w:styleId="850" w:customStyle="1">
    <w:name w:val="Тема примечания Знак"/>
    <w:basedOn w:val="848"/>
    <w:link w:val="849"/>
    <w:semiHidden/>
    <w:rPr>
      <w:rFonts w:eastAsia="Times New Roman"/>
      <w:b/>
      <w:bCs/>
    </w:rPr>
  </w:style>
  <w:style w:type="paragraph" w:styleId="851">
    <w:name w:val="Balloon Text"/>
    <w:basedOn w:val="827"/>
    <w:link w:val="852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29"/>
    <w:link w:val="851"/>
    <w:semiHidden/>
    <w:rPr>
      <w:rFonts w:ascii="Segoe UI" w:hAnsi="Segoe UI" w:eastAsia="Times New Roman" w:cs="Segoe UI"/>
      <w:sz w:val="18"/>
      <w:szCs w:val="18"/>
    </w:rPr>
  </w:style>
  <w:style w:type="paragraph" w:styleId="853">
    <w:name w:val="Body Text"/>
    <w:basedOn w:val="827"/>
    <w:link w:val="854"/>
    <w:uiPriority w:val="1"/>
    <w:qFormat/>
    <w:pPr>
      <w:widowControl w:val="off"/>
    </w:pPr>
    <w:rPr>
      <w:sz w:val="28"/>
      <w:szCs w:val="28"/>
      <w:lang w:eastAsia="en-US"/>
    </w:rPr>
  </w:style>
  <w:style w:type="character" w:styleId="854" w:customStyle="1">
    <w:name w:val="Основной текст Знак"/>
    <w:basedOn w:val="829"/>
    <w:link w:val="853"/>
    <w:uiPriority w:val="1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n-grad.ru" TargetMode="External"/><Relationship Id="rId10" Type="http://schemas.openxmlformats.org/officeDocument/2006/relationships/hyperlink" Target="mailto:yarmarka.pl.gorkogo@yandex.ru" TargetMode="External"/><Relationship Id="rId11" Type="http://schemas.openxmlformats.org/officeDocument/2006/relationships/hyperlink" Target="https://admgor.nnov.ru/" TargetMode="External"/><Relationship Id="rId12" Type="http://schemas.openxmlformats.org/officeDocument/2006/relationships/hyperlink" Target="mailto:yarmarka.pl.gorkogo@yandex.ru" TargetMode="External"/><Relationship Id="rId13" Type="http://schemas.openxmlformats.org/officeDocument/2006/relationships/hyperlink" Target="https://admgor.nnov.ru/" TargetMode="External"/><Relationship Id="rId14" Type="http://schemas.openxmlformats.org/officeDocument/2006/relationships/hyperlink" Target="https://admgor.nn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2024-02-09T11:32:00Z</dcterms:created>
  <dcterms:modified xsi:type="dcterms:W3CDTF">2024-11-11T10:52:02Z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