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МИНИСТЕРСТВО ЭКОНОМИЧЕСКОГО РАЗВИТИЯ РОССИЙСКОЙ ФЕДЕРАЦИИ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ПРИКАЗ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 УТВЕРЖДЕНИИ МЕТОДИКИ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ОЦЕНКИ ЭФФЕКТИВНОСТИ ПРОЕКТА ГОСУДАРСТВЕННО-ЧАСТНОГО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ПАРТНЕРСТВА, ПРОЕКТА МУНИЦИПАЛЬНО-ЧАСТНОГО ПАРТНЕРСТВА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 ПРЕИМУЩЕСТВА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соответствии с частью 7 статьи 9 и частью 2 статьи 16 Федерального закона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№ 29, ст. 4350) приказываю: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1. Утвердить прилагаемую Методику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2. Настоящий приказ вступает в силу с 1 января 2016 года.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3.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Контроль за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исполнением настоящего приказа возложить на заместителя Министра Воскресенского С.С.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Врио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Министра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А.Е.ЛИХАЧЕВ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приказом 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0" w:name="Par30"/>
      <w:bookmarkEnd w:id="0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МЕТОДИКА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ОЦЕНКИ ЭФФЕКТИВНОСТИ ПРОЕКТА ГОСУДАРСТВЕННО-ЧАСТНОГО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ПАРТНЕРСТВА, ПРОЕКТА МУНИЦИПАЛЬНО-ЧАСТНОГО ПАРТНЕРСТВА</w:t>
      </w:r>
    </w:p>
    <w:p w:rsidR="001B63B6" w:rsidRPr="001B63B6" w:rsidRDefault="001B63B6" w:rsidP="001B63B6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 ПРЕИМУЩЕСТВА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I. Общие положения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1.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№ 29, ст. 4350).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законом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рассмотрении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" w:name="Par39"/>
      <w:bookmarkEnd w:id="1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финансовая эффективность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социально-экономический эффект от реализации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4. Определение сравнительного преимущества проводится в случае, если проект признан эффективным по каждому из критериев, указанных в пункте 3 Методики.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5. Сравнительное преимущество проекта определяется на основании соотношения следующих показателей: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--------------------------------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&lt;1&gt;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Справочно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: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present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budget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value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2) объема принимаемых публичным партнером обязательств в случае возникновения рисков при реализации проекта и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объема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--------------------------------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&lt;1&gt;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Справочно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: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present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risk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value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разделе II Методики, и документов, необходимых для оценки объемов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пунктом 26 Методики.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8. Валюта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представления результатов оценки финансовой эффективности проекта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2" w:name="Par56"/>
      <w:bookmarkEnd w:id="2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II. Требования к финансовой модели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 Требования к построению и оформлению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9.1. Построение финансовой модели осуществляется публичным партнером или инициатором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9.5. Ячейки, содержащие различные типы данных, должны выделяться различными стилями таким образом, чтобы они были легко визуально различимы.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логические группы ячеек. Подбор стилей должен обеспечивать доступность восприятия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9.9. Финансовая модель не должна содержать ссылок на внешние файлы.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9.12.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Финансовая модель должна быть предоставлена в электронном виде в формате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Microsoft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Excel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(2007 или более поздняя версия) на двух дисках CD-R или DVD-R (либо на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USB-флеш-накопителях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9.13. Финансовая модель должна сопровождаться инструкцией в формате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Microsoft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Word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электронном носителе, а также в бумажной форме.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9.14. На электронном носителе должны быть записаны две версии файлов финансовой модели и инструкции: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10. Инструкция к финансовой модели должна содержать: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контактные данные лиц, ответственных за предоставление разъяснений по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 Требования к содержанию книги допущений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11.1.1. Основные методологические предположения, использованные при построении финансовых прогнозов, в том числе: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шаг прогноза;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тип денежных потоков (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номинальные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 реальные) и валюта денежных потоков;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иные ключевые методологические предположения.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11.1.2. Макроэкономические данные (в том числе прогнозы инфляции, обменных курсов, роста 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реальной заработной платы).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11.1.3. Прогноз капитальных вложений.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11.1.4. Прогноз объема продаж и объема производства (иных количественных факторов, определяющих выручку).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11.1.5. Прогноз цен (тарифов) на готовую продукцию (услуги).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11.1.6. Нормы расхода ресурсов на единицу выпуска.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11.1.9. Прогноз условно постоянных затрат.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11.1.14. Данные фондового рынка для расчета ставки дисконтирования.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11.1.15. Иные исходные данные и предпосылки, важные для данной отрасли и типа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11.2. Книга допущений должна содержать источники, использованные для формирования исходных данных и допущений.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NPV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&lt;1&gt;), ставка дисконтирования, период окупаемости, DSCR &lt;2&gt; и иные финансовые коэффициенты).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>--------------------------------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 xml:space="preserve">&lt;1&gt;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Справочно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>: net present value.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 xml:space="preserve">&lt;2&gt;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Справочно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>: debt service coverage ratio.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 Требования к содержанию финансовой модели.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должен содержать исходные данные и допущения, указанные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книге допущений и используемые в финансовой модели;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не должен содержать данных, которые противоречат друг другу.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информацию о налоговых льготах и льготах при уплате страховых взносов, если таковые предполагаются.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12.5. При составлении финансовых прогнозов в финансовой модели необходимо учитывать следующие ограничения: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2) график привлечения финансирования должен быть привязан к графику инвестиций, денежные 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>--------------------------------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 xml:space="preserve">&lt;1&gt;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Справочно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>: cash flow available for debt servicing.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12.6. В финансовой модели должна быть приведены детальные расчеты: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свободного денежного потока от проекта, поступающего в распоряжение частного партнера;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чистых дисконтированных расходов средств бюджетов бюджетной системы Российской Федерации при реализации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ставки дисконтирования для частного партнера;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ставки дисконтирования расходов и поступлений средств бюджетов бюджетной системы Российской Федерации.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12.8. На отдельном листе (листах) должны быть представлены результаты финансовой модели, содержащие: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формы прогнозной годовой финансовой отчетности (в соответствии с российскими стандартами бухгалтерского учета);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ключевые показатели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12.9.1. Прогнозный отчет о прибылях и убытках,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содержащий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в том числе следующие финансовые показатели по периодам реализации проекта: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выручка (по проекту в целом);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выручка от оказания платных услуг населению;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валовая прибыль (убыток);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субсидии федерального бюджета Российской Федерации;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субсидии бюджета субъекта Российской Федерации;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субсидии бюджета муниципального образования;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себестоимость продаж;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валовая прибыль (убыток);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EBITDA &lt;1&gt; (операционная прибыль до вычета амортизации, процентов и налогов);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lastRenderedPageBreak/>
        <w:t>--------------------------------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 xml:space="preserve">&lt;1&gt;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Справочно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  <w:lang w:val="en-US"/>
        </w:rPr>
        <w:t>: earnings before interest, taxes, depreciation and amortization.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  <w:lang w:val="en-US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амортизационные отчисления;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доходы от участия в других организациях;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проценты к уплате;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прочие расходы;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налоговые платежи в составе прочих расходов;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прибыль (убыток) до налогообложения;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текущий налог на прибыль;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чистая прибыль.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12.9.2. Прогнозный отчет о движении денежных средств,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содержащий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в том числе следующие финансовые показатели по периодам реализации проекта: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12.9.2.1. Денежные потоки от операционной деятельности: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поступления от продажи продукции, товаров, выполнения работ и оказания услуг;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поступления в виде арендных платежей, лицензионных платежей, роялти, комиссионных и иных аналогичных платежей;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поступления в форме субсидий бюджетов бюджетной системы Российской Федерации на эксплуатационной стадии;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поставщикам (подрядчикам) за сырье, материалы, работы, услуги;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в связи с оплатой труда работников;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процентов по долговым обязательствам;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по налогу на прибыль организаций;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по налогу на добавленную стоимость;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по налогу на имущество организаций;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по земельному налогу;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прочие платежи.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12.9.2.2. Денежные потоки от инвестиционной деятельности: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платежи в связи с приобретением, созданием, модернизацией, реконструкцией и подготовкой к использованию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внеоборотных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активов;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платежи в связи с продажей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внеоборотных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активов.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12.9.2.3. Денежные потоки от финансовой деятельности: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поступления в форме субсидий бюджетов бюджетной системы Российской Федерации на инвестиционной стадии;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получение кредитов и займов;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денежные вклады учредителей (участников);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выпуск акций, увеличения долей участия;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выпуск облигаций, векселей и других долговых ценных бумаг;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прочие поступления;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уплата дивидендов и иных платежей по распределению прибыли в пользу учредителей (участников);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погашение (выкуп) векселей и других долговых ценных бумаг, возврат кредитов и займов.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12.9.3. Прогнозный баланс, который должен содержать следующие финансовые показатели по периодам реализации проекта: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12.9.3.1.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Внеоборотные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активы: основные средства.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12.9.3.2. Оборотные активы: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запасы;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дебиторская задолженность;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денежные средства;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прочие активы.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12.9.3.3. Капитал и резервы: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уставный капитал;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нераспределенная прибыль.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12.9.3.4. Долгосрочные обязательства: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долгосрочный кредит;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прочие долгосрочные обязательства.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12.9.3.5. Краткосрочные обязательства: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кредиторская задолженность;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прочие краткосрочные обязательства.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 Финансовая модель должна рассчитывать следующие ключевые показатели: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12.10.1. Свободный денежный поток от проекта, поступающий в распоряжение частного партнера.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12.10.4. Ставка дисконтирования для частного партнера.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12.10.5. Ставка дисконтирования расходов и поступлений средств бюджетов бюджетной системы Российской Федерации.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12.10.6. Коэффициент покрытия выплат по обслуживанию долга денежным потоком (DSCR).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12.10.9. Показатели инвестиционной привлекательности для частного партнера: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простой период окупаемости;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дисконтированный период окупаемости;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внутренняя норма доходности на средства, предоставленные учредителями (участниками) частного партнера.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12.11. Коэффициент покрытия выплат по обслуживанию долга денежным потоком (DSCR) рассчитывается по формуле: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30"/>
          <w:sz w:val="22"/>
        </w:rPr>
        <w:drawing>
          <wp:inline distT="0" distB="0" distL="0" distR="0">
            <wp:extent cx="121920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, где </w:t>
      </w:r>
      <w:r w:rsidRPr="001B63B6">
        <w:rPr>
          <w:rFonts w:ascii="Times New Roman" w:hAnsi="Times New Roman" w:cs="Times New Roman"/>
          <w:noProof/>
          <w:color w:val="0D0D0D" w:themeColor="text1" w:themeTint="F2"/>
          <w:position w:val="-12"/>
          <w:sz w:val="22"/>
        </w:rPr>
        <w:drawing>
          <wp:inline distT="0" distB="0" distL="0" distR="0">
            <wp:extent cx="6096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DSCR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коэффициент покрытия выплат долгового финансирования денежным потоком в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году;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CFADS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денежный поток, доступный для покрытия долга в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году;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+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I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выплаты по обслуживанию долга в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год реализации проекта (в качестве первого года принимается год планируемого заключения соглашения);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k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 - общее число лет реализации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действующие нормативные правовые акты;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данные статистической информации;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данные отраслевых, маркетинговых, финансовых и иных аналитических периодических изданий.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III. Оценка финансовой эффективности проекта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3" w:name="Par239"/>
      <w:bookmarkEnd w:id="3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образом: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32"/>
          <w:sz w:val="22"/>
        </w:rPr>
        <w:drawing>
          <wp:inline distT="0" distB="0" distL="0" distR="0">
            <wp:extent cx="1295400" cy="466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NPV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чистая приведенная стоимость проекта,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FCF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&lt;1&gt; - свободный денежный поток от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--------------------------------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&lt;1&gt;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Справочно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: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free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cash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flow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дисконтирования для частного партнера, в процентах;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год реализации проекта (в качестве первого года принимается год планируемого заключения соглашения);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 - общее число лет реализации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4" w:name="Par252"/>
      <w:bookmarkEnd w:id="4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IV. Оценка социально-экономического эффекта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реализации проекта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18. Оценка социально-экономического эффекта от реализации проекта осуществляется следующим образом: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1) определяются соответствующие проекту по целям, задачам и предмету государственные (муниципальные) программы;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2"/>
          <w:sz w:val="22"/>
        </w:rPr>
        <w:drawing>
          <wp:inline distT="0" distB="0" distL="0" distR="0">
            <wp:extent cx="10668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y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целевой показатель государственных (муниципальных) программ;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x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технико-экономический показатель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z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1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...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z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m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V. Определение сравнительного преимущества проекта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19. Сравнительное преимущество проекта признается, если выполняется следующее условие: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52"/>
          <w:sz w:val="22"/>
        </w:rPr>
        <w:lastRenderedPageBreak/>
        <w:drawing>
          <wp:inline distT="0" distB="0" distL="0" distR="0">
            <wp:extent cx="2286000" cy="733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52"/>
          <w:sz w:val="22"/>
        </w:rPr>
        <w:drawing>
          <wp:inline distT="0" distB="0" distL="0" distR="0">
            <wp:extent cx="2286000" cy="733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k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vfm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PBV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PBV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cp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PRV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суммарный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PRV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cp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суммарный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государственного контракта, муниципального контракта.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21. При определении сравнительного преимущества не учитываются следующие критерии и показатели: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1) новизна и (или)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инновационность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применяемых в проекте технологических решений;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2) результативность проекта, включая сравнение показателей качества услуг населению;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3) различия в инструментах управления инвестиционным проектом;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5) сроки поставки населению необходимого объема услуг (объектов инфраструктуры);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6) расходы и риски, не связанные с расходами средств бюджетов бюджетной системы Российской Федерации.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22. Образец представления показателей, используемых для определения сравнительного преимущества проекта,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приведена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в приложении № 1 к Методике.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23. Расчет чистых дисконтированных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проекта.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30"/>
          <w:sz w:val="22"/>
        </w:rPr>
        <w:drawing>
          <wp:inline distT="0" distB="0" distL="0" distR="0">
            <wp:extent cx="3352800" cy="45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PBV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b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дисконтирования 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в годовом исчислении;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год реализации проекта (в качестве первого года принимается год планируемого заключения 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соглашения);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 - общее число лет реализации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8100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создание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41910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9052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810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прочие расходы средств бюджетов бюджетной системы Российской Федерации при реализации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762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поступления в бюджеты бюджетной системы Российской Федерации от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23.2. Статьи расходов средств бюджетов бюджетной системы Российской Федерации, учитываемых при расчете чистых дисконтированных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проекта, указаны в приложении № 2 к Методике.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23.3. Статьи поступлений в бюджеты бюджетной системы Российской Федерации, учитываемых при расчете чистых дисконтированных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проекта указаны в приложении № 3 к Методике.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5" w:name="Par315"/>
      <w:bookmarkEnd w:id="5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24. Расчет чистых дисконтированных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28"/>
          <w:sz w:val="22"/>
        </w:rPr>
        <w:drawing>
          <wp:inline distT="0" distB="0" distL="0" distR="0">
            <wp:extent cx="2819400" cy="4476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PBV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cp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b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дисконтирования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в годовом исчислении;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 - общее число лет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667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создание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14325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эксплуатацию и техническое обслуживание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7622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6670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прочие расходы средств бюджетов бюджетной системы Российской Федерации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2860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поступления в бюджеты от использования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24.2.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 xml:space="preserve">24.3.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24.4.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приложении № 4 к Методике.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24.5. Статьи поступлений в бюджеты бюджетной системы Российской Федерации, учитываемых при расчете чистых дисконтированных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контракта, относятся виды поступлений, указанные в приложении № 5 к Методике.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25. Расчет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ставки дисконтирования 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90"/>
          <w:sz w:val="22"/>
        </w:rPr>
        <w:drawing>
          <wp:inline distT="0" distB="0" distL="0" distR="0">
            <wp:extent cx="2743200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fb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rb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0002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19075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средств бюджета Российской Федерации, привлекаемых для реализации проекта,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19075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19075" cy="2381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80975" cy="2381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по проекту, в рублях.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 xml:space="preserve">25.2. Если необходимость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осуществления 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54"/>
          <w:sz w:val="22"/>
        </w:rPr>
        <w:drawing>
          <wp:inline distT="0" distB="0" distL="0" distR="0">
            <wp:extent cx="2743200" cy="762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19075" cy="2381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поступлений в бюджет Российской Федерации в течение срока реализации проекта,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19075" cy="2381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809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поступлений в бюджеты бюджетной системы Российской Федерации при реализации проекта, в рублях.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90"/>
          <w:sz w:val="22"/>
        </w:rPr>
        <w:drawing>
          <wp:inline distT="0" distB="0" distL="0" distR="0">
            <wp:extent cx="2733675" cy="1219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80975" cy="2381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19075" cy="2381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пр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28600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28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286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90500" cy="2381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государственного контракта, муниципального контракта, в рублях.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25.4.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25.5.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), используемой в расчете чистой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приведенной стоимости проекта в соответствии с пунктами 15 - 16 Методики.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6" w:name="Par370"/>
      <w:bookmarkEnd w:id="6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26. Расчет объема принимаемых публичным партнером обязательств в случае возникновения рисков при реализации проекта и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объема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26.1. Суммарный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проекта оценивается следующим образом: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32"/>
          <w:sz w:val="22"/>
        </w:rPr>
        <w:drawing>
          <wp:inline distT="0" distB="0" distL="0" distR="0">
            <wp:extent cx="3571875" cy="4667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PRV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проекта,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ppp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год реализации проекта (в качестве первого года принимается год планируемого заключения соглашения);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 - общее число лет реализации проекта;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409575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 подготовительных и проектировочных мероприятий по проекту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409575" cy="238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 создания объекта при реализации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447675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 эксплуатации и технического обслуживания объекта при реализации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71475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 получения доходов от использования объекта при реализации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90525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прочих рисков при реализации проекта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7" w:name="Par385"/>
      <w:bookmarkEnd w:id="7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26.2. Объем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проекта оценивается следующим образом: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1) для рисков подготовительных и проектировочных мероприятий в году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381125" cy="2381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D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подготовительные мероприятия и проектирование;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81000" cy="2381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подготовительные 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мероприятия и проектирование по проекту, учитываемые при расчете объема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рисков,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2) для рисков создания объекта в периоде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362075" cy="2381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B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создание объекта;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71475" cy="2381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рисков,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3) для рисков эксплуатации объекта в году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476375" cy="2381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M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эксплуатацию и техническое обслуживание объекта;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409575" cy="2381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рисков,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4) для рисков получения доходов от использования объекта в году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8"/>
          <w:sz w:val="22"/>
        </w:rPr>
        <w:drawing>
          <wp:inline distT="0" distB="0" distL="0" distR="0">
            <wp:extent cx="11906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I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поступлений в бюджеты от использования объекта;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8"/>
          <w:sz w:val="22"/>
        </w:rPr>
        <w:drawing>
          <wp:inline distT="0" distB="0" distL="0" distR="0">
            <wp:extent cx="333375" cy="2667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рисков,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5) для прочих рисков в периоде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285875" cy="2381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C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прочих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7147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рисков,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рисков, приведены в приложении № 6 к Методике.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расходов средств бюджетов бюджетной системы Российской Федерации, учитываемых при расчете объема принимаемых публичным партнером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26.4. Для целей Методики вероятные отклонения расходов и поступлений средств бюджетов 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 xml:space="preserve">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пунктом 26.2 Методики и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объема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пунктом 26.7 Методики, имеют равные значения.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объема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принимаемых таким публично-правовым образованием обязательства при реализации государственного контракта, муниципального контракта, приведены в приложении № 7 к Методике.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26.6. Суммарный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32"/>
          <w:sz w:val="22"/>
        </w:rPr>
        <w:drawing>
          <wp:inline distT="0" distB="0" distL="0" distR="0">
            <wp:extent cx="3267075" cy="4667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PRV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cp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суммарный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государственного контракта, муниципального контракта, в рублях;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r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cp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 - общее число лет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6195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 подготовительных и проектировочных мероприятий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61950" cy="2381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 создания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90525" cy="2381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  <w:proofErr w:type="gramEnd"/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14325" cy="2381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рисков получения доходов от использования объекта при реализации государственного контракта, муниципального контракта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42900" cy="2381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учае возникновения прочих рисков при реализации государственного контракта, муниципального контракта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8" w:name="Par438"/>
      <w:bookmarkEnd w:id="8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26.7. Объем принимаемых публично-правовым образованием обязатель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ств в сл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учае возникновения рисков при реализации государственного, муниципального контракта оценивается следующим образом: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1) для рисков подготовительных и проектировочных мероприятий в периоде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181100" cy="2381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D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подготовительные мероприятия и проектирование;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76225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2) для рисков создания объекта в периоде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lastRenderedPageBreak/>
        <w:drawing>
          <wp:inline distT="0" distB="0" distL="0" distR="0">
            <wp:extent cx="1143000" cy="2381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B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создание объекта;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66700" cy="2381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создание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3) для рисков эксплуатации объекта в периоде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247775" cy="2381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M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на эксплуатацию и техническое обслуживание объекта;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314325" cy="2381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расходы средств бюджетов бюджетной системы Российской Федерации на эксплуатацию и техническое обслуживание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4) для рисков получения доходов от использования объекта в периоде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028700" cy="238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I</w:t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поступлений в бюджеты от использования объекта;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28600" cy="2381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поступления в бюджеты бюджетной системы Российской Федерации от использования объекта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реализации государственного контракта, муниципального контракта;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5) для прочих рисков в периоде t: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1152525" cy="2381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,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где: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v</w:t>
      </w:r>
      <w:r w:rsidRPr="001B63B6">
        <w:rPr>
          <w:rFonts w:ascii="Times New Roman" w:hAnsi="Times New Roman" w:cs="Times New Roman"/>
          <w:color w:val="0D0D0D" w:themeColor="text1" w:themeTint="F2"/>
          <w:sz w:val="22"/>
          <w:vertAlign w:val="subscript"/>
        </w:rPr>
        <w:t>C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вероятное отклонение прочих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 Федерации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;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noProof/>
          <w:color w:val="0D0D0D" w:themeColor="text1" w:themeTint="F2"/>
          <w:position w:val="-14"/>
          <w:sz w:val="22"/>
        </w:rPr>
        <w:drawing>
          <wp:inline distT="0" distB="0" distL="0" distR="0">
            <wp:extent cx="266700" cy="2381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</w:t>
      </w:r>
      <w:proofErr w:type="spell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t</w:t>
      </w:r>
      <w:proofErr w:type="spell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.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Приложение № 1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 Методике оценки эффективности проекта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 партнерства,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проекта муниципально-частного партнерства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преимущества,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утвержденной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приказом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9" w:name="Par488"/>
      <w:bookmarkEnd w:id="9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Образец представления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показателей, используемых для определения сравнительного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преимущества проекта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250"/>
        <w:gridCol w:w="2838"/>
        <w:gridCol w:w="3082"/>
      </w:tblGrid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/</w:t>
            </w: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Наименование показателя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4</w:t>
            </w: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9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создания объекта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проектирования и подготовительных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эксплуатации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получения доходов от использования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Прочие риски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  <w:tr w:rsidR="001B63B6" w:rsidRPr="001B63B6" w:rsidTr="007349BC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</w:tc>
      </w:tr>
    </w:tbl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Приложение № 2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 Методике оценки эффективности проекта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 партнерства,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проекта муниципально-частного партнерства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преимущества,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утвержденной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приказом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0" w:name="Par569"/>
      <w:bookmarkEnd w:id="10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СТАТЬИ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ФЕДЕРАЦИИ ПРИ РЕАЛИЗАЦИИ ПРОЕКТА,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УЧИТЫВАЕМЫХ</w:t>
      </w:r>
      <w:proofErr w:type="gramEnd"/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 ОПРЕДЕЛЕНИИ СРАВНИТЕЛЬНОГО ПРЕИМУЩЕСТВА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818"/>
        <w:gridCol w:w="5269"/>
      </w:tblGrid>
      <w:tr w:rsidR="001B63B6" w:rsidRPr="001B63B6" w:rsidTr="007349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№ </w:t>
            </w:r>
            <w:proofErr w:type="spellStart"/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/</w:t>
            </w: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Виды 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расходов средств бюджетов бюджетной системы Российской Федерации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Статьи 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расходов средств бюджетов бюджетной системы Российской Федерации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при реализации проекта, учитываемых при определении сравнительного преимущества</w:t>
            </w:r>
          </w:p>
        </w:tc>
      </w:tr>
      <w:tr w:rsidR="001B63B6" w:rsidRPr="001B63B6" w:rsidTr="007349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Софинансирование</w:t>
            </w:r>
            <w:proofErr w:type="spell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1B63B6" w:rsidRPr="001B63B6" w:rsidTr="007349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1B63B6" w:rsidRPr="001B63B6" w:rsidTr="007349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Финансирование за счет 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средств бюджетов бюджетной системы Российской Федерации расходов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Финансирование за счет 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средств бюджетов бюджетной системы Российской Федерации расходов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Приложение № 3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 Методике оценки эффективности проекта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 партнерства,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проекта муниципально-частного партнерства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преимущества,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утвержденной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приказом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>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1" w:name="Par601"/>
      <w:bookmarkEnd w:id="11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СТАТЬИ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ПОСТУПЛЕНИЙ В БЮДЖЕТЫ БЮДЖЕТНОЙ СИСТЕМЫ РОССИЙСКОЙ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ФЕДЕРАЦИИ ПРИ РЕАЛИЗАЦИИ ПРОЕКТА, УЧИТЫВАЕМЫЕ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 ОПРЕДЕЛЕНИИ СРАВНИТЕЛЬНОГО ПРЕИМУЩЕСТВА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250"/>
        <w:gridCol w:w="5819"/>
      </w:tblGrid>
      <w:tr w:rsidR="001B63B6" w:rsidRPr="001B63B6" w:rsidTr="007349B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№ </w:t>
            </w:r>
            <w:proofErr w:type="spellStart"/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/</w:t>
            </w: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Виды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Статьи поступлений в бюджеты бюджетной системы 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1B63B6" w:rsidRPr="001B63B6" w:rsidTr="007349B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 на добавленную стоимость по затратам на выкуп земель и подготовку территории строительства.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 на имущество организаций от стоимости объекта соглашения по проекту.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 на прибыль по проекту.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Отчисления во внебюджетные фонды.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 на доходы физических лиц по проекту</w:t>
            </w:r>
          </w:p>
        </w:tc>
      </w:tr>
      <w:tr w:rsidR="001B63B6" w:rsidRPr="001B63B6" w:rsidTr="007349B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Плата частного партнера за использование объекта соглашения.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Поступления штрафов от правонарушений, взимаемых посредством объекта соглашения.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Приложение № 4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 Методике оценки эффективности проекта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 партнерства,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проекта муниципально-частного партнерства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преимущества,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утвержденной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приказом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2" w:name="Par636"/>
      <w:bookmarkEnd w:id="12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СТАТЬИ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РАСХОДОВ СРЕДСТВ БЮДЖЕТОВ БЮДЖЕТНОЙ СИСТЕМЫ РОССИЙСКОЙ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ФЕДЕРАЦИИ ПРИ РЕАЛИЗАЦИИ ГОСУДАРСТВЕННОГО КОНТРАКТА,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МУНИЦИПАЛЬНОГО КОНТРАКТА,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УЧИТЫВАЕМЫХ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ОПРЕДЕЛЕНИИ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СРАВНИТЕЛЬНОГО ПРЕИМУЩЕСТВА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405"/>
        <w:gridCol w:w="4546"/>
        <w:gridCol w:w="2132"/>
      </w:tblGrid>
      <w:tr w:rsidR="001B63B6" w:rsidRPr="001B63B6" w:rsidTr="007349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№ </w:t>
            </w:r>
            <w:proofErr w:type="spellStart"/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/</w:t>
            </w: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Виды 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расходов средств бюджетов бюджетной </w:t>
            </w: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системы Российской Федерации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 xml:space="preserve">Статьи 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расходов средств бюджетов бюджетной системы Российской Федерации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</w:t>
            </w: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Примечание</w:t>
            </w:r>
          </w:p>
        </w:tc>
      </w:tr>
      <w:tr w:rsidR="001B63B6" w:rsidRPr="001B63B6" w:rsidTr="007349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4</w:t>
            </w:r>
          </w:p>
        </w:tc>
      </w:tr>
      <w:tr w:rsidR="001B63B6" w:rsidRPr="001B63B6" w:rsidTr="007349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Равны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расходам на строительство, реконструкцию, техническое перевооружение объекта по проекту</w:t>
            </w:r>
          </w:p>
        </w:tc>
      </w:tr>
      <w:tr w:rsidR="001B63B6" w:rsidRPr="001B63B6" w:rsidTr="007349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дств дл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я покрытия расходов средств бюджетов при реализации государственного контракта, муниципального контракта в соответствии с пунктом 24 Методики)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1B63B6" w:rsidRPr="001B63B6" w:rsidTr="007349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</w:t>
            </w: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бюджетным учреждениям, государственным и муниципальным предприятиям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Равны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соответствующим расходам по проекту</w:t>
            </w:r>
          </w:p>
        </w:tc>
      </w:tr>
    </w:tbl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Приложение № 5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 Методике оценки эффективности проекта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 партнерства,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проекта муниципально-частного партнерства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преимущества,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утвержденной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приказом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3" w:name="Par678"/>
      <w:bookmarkEnd w:id="13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СТАТЬИ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ПОСТУПЛЕНИЙ В БЮДЖЕТЫ БЮДЖЕТНОЙ СИСТЕМЫ РОССИЙСКОЙ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ФЕДЕРАЦИИ ПРИ РЕАЛИЗАЦИИ ГОСУДАРСТВЕННОГО КОНТРАКТА,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МУНИЦИПАЛЬНОГО КОНТРАКТА,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УЧИТЫВАЕМЫХ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ОПРЕДЕЛЕНИИ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СРАВНИТЕЛЬНОГО ПРЕИМУЩЕСТВА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2"/>
        <w:gridCol w:w="5288"/>
      </w:tblGrid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№ </w:t>
            </w:r>
            <w:proofErr w:type="spellStart"/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/</w:t>
            </w: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Приложение № 6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 Методике оценки эффективности проекта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 партнерства,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проекта муниципально-частного партнерства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и определения их сравнительного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lastRenderedPageBreak/>
        <w:t xml:space="preserve">преимущества,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утвержденной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приказом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4" w:name="Par709"/>
      <w:bookmarkEnd w:id="14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СТАТЬИ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РАСХОДОВ И ПОСТУПЛЕНИЙ,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УЧИТЫВАЕМЫЕ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 РАСЧЕТЕ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ОБЪЕМА ПРИНИМАЕМЫХ ПУБЛИЧНЫМ ПАРТНЕРОМ ОБЯЗАТЕЛЬСТВ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СЛУЧАЕ ВОЗНИКНОВЕНИЯ РИСКОВ ПРИ РЕАЛИЗАЦИИ ПРОЕКТА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ГОСУДАРСТВЕННО-ЧАСТНОГО, МУНИЦИПАЛЬНО-ЧАСТНОГО ПАРТНЕРСТВА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И ОБЪЕМА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ПРИНИМАЕМЫХ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ТАКИМ ПУБЛИЧНО-ПРАВОВЫМ ОБРАЗОВАНИЕМ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ОБЯЗАТЕЛЬСТВА ПРИ РЕАЛИЗАЦИИ ГОСУДАРСТВЕННОГО,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МУНИЦИПАЛЬНОГО КОНТРАКТА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262"/>
        <w:gridCol w:w="3684"/>
        <w:gridCol w:w="3113"/>
      </w:tblGrid>
      <w:tr w:rsidR="001B63B6" w:rsidRPr="001B63B6" w:rsidTr="007349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№ </w:t>
            </w:r>
            <w:proofErr w:type="spellStart"/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/</w:t>
            </w: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Виды рисков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Статьи расходов и поступлений, учитываемые при расчете объема принимаемых публичным партнером обязатель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ств в сл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Статьи расходов и поступлений, учитываемые при расчете объема принимаемых публично-правовым образованием обязатель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ств в сл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учае возникновения рисков при реализации государственного, муниципального контракта</w:t>
            </w:r>
          </w:p>
        </w:tc>
      </w:tr>
      <w:tr w:rsidR="001B63B6" w:rsidRPr="001B63B6" w:rsidTr="007349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4</w:t>
            </w:r>
          </w:p>
        </w:tc>
      </w:tr>
      <w:tr w:rsidR="001B63B6" w:rsidRPr="001B63B6" w:rsidTr="007349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создания объекта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1B63B6" w:rsidRPr="001B63B6" w:rsidTr="007349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проектирования и подготовительных мероприятий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1B63B6" w:rsidRPr="001B63B6" w:rsidTr="007349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эксплуатации объекта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</w:t>
            </w: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мероприятий публичным партнером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1B63B6" w:rsidRPr="001B63B6" w:rsidTr="007349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получения доходов от использования объекта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1B63B6" w:rsidRPr="001B63B6" w:rsidTr="007349B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Прочие риски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Прочие расходы средств бюджетов бюджетной системы Российской Федерации</w:t>
            </w:r>
          </w:p>
        </w:tc>
      </w:tr>
    </w:tbl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Приложение № 7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к Методике оценки эффективности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проекта государственно-частного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партнерства, проекта муниципально-частного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партнерства и определения их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сравнительного преимущества,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утвержденной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приказом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Минэкономразвития России</w:t>
      </w:r>
    </w:p>
    <w:p w:rsidR="001B63B6" w:rsidRPr="001B63B6" w:rsidRDefault="001B63B6" w:rsidP="001B63B6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от 30.11.2015 № 894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5" w:name="Par763"/>
      <w:bookmarkEnd w:id="15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ДОПУСТИМЫЕ ЗНАЧЕНИЯ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ВЕРОЯТНЫХ ОТКЛОНЕНИЙ, УЧИТЫВАЕМЫХ ПРИ РАСЧЕТЕ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ОБЪЕМА ПРИНИМАЕМЫХ ПУБЛИЧНЫМ ПАРТНЕРОМ ОБЯЗАТЕЛЬСТВ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В СЛУЧАЕ ВОЗНИКНОВЕНИЯ РИСКОВ ПРИ РЕАЛИЗАЦИИ ПРОЕКТА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ГОСУДАРСТВЕННО-ЧАСТНОГО, МУНИЦИПАЛЬНО-ЧАСТНОГО ПАРТНЕРСТВА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И ОБЪЕМА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ПРИНИМАЕМЫХ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ТАКИМ ПУБЛИЧНО-ПРАВОВЫМ ОБРАЗОВАНИЕМ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ОБЯЗАТЕЛЬСТВА ПРИ РЕАЛИЗАЦИИ ГОСУДАРСТВЕННОГО,</w:t>
      </w:r>
    </w:p>
    <w:p w:rsidR="001B63B6" w:rsidRPr="001B63B6" w:rsidRDefault="001B63B6" w:rsidP="001B63B6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МУНИЦИПАЛЬНОГО КОНТРАКТА &lt;1&gt;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81"/>
        <w:gridCol w:w="6091"/>
      </w:tblGrid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№ </w:t>
            </w:r>
            <w:proofErr w:type="spellStart"/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/</w:t>
            </w:r>
            <w:proofErr w:type="spell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Виды рисков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</w:t>
            </w:r>
            <w:proofErr w:type="gramStart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объема</w:t>
            </w:r>
            <w:proofErr w:type="gramEnd"/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создания объекта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от 5 до 12</w:t>
            </w:r>
          </w:p>
        </w:tc>
      </w:tr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Риски проектирования и </w:t>
            </w: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подготовительных мероприятий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от 7 до 15</w:t>
            </w:r>
          </w:p>
        </w:tc>
      </w:tr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эксплуатации объекта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от 15 до 25</w:t>
            </w:r>
          </w:p>
        </w:tc>
      </w:tr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Риски получения доходов от использования объекта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от 20 до 40</w:t>
            </w:r>
          </w:p>
        </w:tc>
      </w:tr>
      <w:tr w:rsidR="001B63B6" w:rsidRPr="001B63B6" w:rsidTr="007349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Прочие риски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6" w:rsidRPr="001B63B6" w:rsidRDefault="001B63B6" w:rsidP="007349B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1B63B6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от 5 до 10</w:t>
            </w:r>
          </w:p>
        </w:tc>
      </w:tr>
    </w:tbl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--------------------------------</w:t>
      </w:r>
    </w:p>
    <w:p w:rsidR="001B63B6" w:rsidRPr="001B63B6" w:rsidRDefault="001B63B6" w:rsidP="001B63B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bookmarkStart w:id="16" w:name="Par792"/>
      <w:bookmarkEnd w:id="16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</w:t>
      </w:r>
      <w:proofErr w:type="gramStart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>объема</w:t>
      </w:r>
      <w:proofErr w:type="gramEnd"/>
      <w:r w:rsidRPr="001B63B6">
        <w:rPr>
          <w:rFonts w:ascii="Times New Roman" w:hAnsi="Times New Roman" w:cs="Times New Roman"/>
          <w:color w:val="0D0D0D" w:themeColor="text1" w:themeTint="F2"/>
          <w:sz w:val="22"/>
        </w:rPr>
        <w:t xml:space="preserve">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</w:p>
    <w:p w:rsidR="001B63B6" w:rsidRPr="001B63B6" w:rsidRDefault="001B63B6" w:rsidP="001B63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D0D0D" w:themeColor="text1" w:themeTint="F2"/>
          <w:sz w:val="4"/>
          <w:szCs w:val="2"/>
        </w:rPr>
      </w:pPr>
    </w:p>
    <w:p w:rsidR="001F028A" w:rsidRPr="001B63B6" w:rsidRDefault="001F028A">
      <w:pPr>
        <w:rPr>
          <w:sz w:val="24"/>
        </w:rPr>
      </w:pPr>
    </w:p>
    <w:sectPr w:rsidR="001F028A" w:rsidRPr="001B63B6" w:rsidSect="00C95BA8">
      <w:footerReference w:type="default" r:id="rId71"/>
      <w:pgSz w:w="11906" w:h="16838"/>
      <w:pgMar w:top="851" w:right="566" w:bottom="1440" w:left="1133" w:header="0" w:footer="363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4D" w:rsidRDefault="001B63B6" w:rsidP="00C95BA8">
    <w:pPr>
      <w:pStyle w:val="a3"/>
      <w:jc w:val="right"/>
      <w:rPr>
        <w:sz w:val="2"/>
        <w:szCs w:val="2"/>
      </w:rPr>
    </w:pPr>
    <w:r w:rsidRPr="00C95BA8">
      <w:rPr>
        <w:rFonts w:ascii="Times New Roman" w:hAnsi="Times New Roman"/>
        <w:sz w:val="20"/>
        <w:szCs w:val="20"/>
      </w:rPr>
      <w:fldChar w:fldCharType="begin"/>
    </w:r>
    <w:r w:rsidRPr="00C95BA8">
      <w:rPr>
        <w:rFonts w:ascii="Times New Roman" w:hAnsi="Times New Roman"/>
        <w:sz w:val="20"/>
        <w:szCs w:val="20"/>
      </w:rPr>
      <w:instrText>PAGE   \* MERGEFORMAT</w:instrText>
    </w:r>
    <w:r w:rsidRPr="00C95BA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C95BA8">
      <w:rPr>
        <w:rFonts w:ascii="Times New Roman" w:hAnsi="Times New Roman"/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B6"/>
    <w:rsid w:val="001B63B6"/>
    <w:rsid w:val="001D6321"/>
    <w:rsid w:val="001F028A"/>
    <w:rsid w:val="0080524B"/>
    <w:rsid w:val="0085114F"/>
    <w:rsid w:val="00A64F89"/>
    <w:rsid w:val="00B50B77"/>
    <w:rsid w:val="00C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B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6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B63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3B6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3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" Type="http://schemas.openxmlformats.org/officeDocument/2006/relationships/image" Target="media/image4.wmf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image" Target="media/image58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9578</Words>
  <Characters>54601</Characters>
  <Application>Microsoft Office Word</Application>
  <DocSecurity>0</DocSecurity>
  <Lines>455</Lines>
  <Paragraphs>128</Paragraphs>
  <ScaleCrop>false</ScaleCrop>
  <Company/>
  <LinksUpToDate>false</LinksUpToDate>
  <CharactersWithSpaces>64051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2017-08-11T06:04:00Z</dcterms:created>
  <dcterms:modified xsi:type="dcterms:W3CDTF">2017-08-11T06:07:00Z</dcterms:modified>
</cp:coreProperties>
</file>