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E04C5A">
        <w:rPr>
          <w:b/>
          <w:color w:val="000000"/>
          <w:sz w:val="26"/>
          <w:szCs w:val="26"/>
        </w:rPr>
        <w:t>1</w:t>
      </w:r>
      <w:r w:rsidR="00AE3EBF">
        <w:rPr>
          <w:b/>
          <w:color w:val="000000"/>
          <w:sz w:val="26"/>
          <w:szCs w:val="26"/>
        </w:rPr>
        <w:t>7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AE3EBF">
        <w:rPr>
          <w:b/>
          <w:sz w:val="30"/>
          <w:szCs w:val="30"/>
          <w:u w:val="single"/>
        </w:rPr>
        <w:t>04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апреля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7E20F1" w:rsidRPr="001F1123" w:rsidTr="005B41D6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лот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Наименование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Общая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площадь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объекта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1F1123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Начальная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цена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объекта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11pt"/>
                <w:sz w:val="24"/>
                <w:szCs w:val="24"/>
              </w:rPr>
              <w:t>(руб.)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Задаток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11pt"/>
                <w:sz w:val="24"/>
                <w:szCs w:val="24"/>
              </w:rPr>
              <w:t>(руб.)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Шаг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аукциона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7E20F1" w:rsidRPr="001F1123" w:rsidTr="007E20F1">
        <w:trPr>
          <w:trHeight w:hRule="exact" w:val="223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61/100 доля в праве общей долевой собственности на нежилое помещение 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1F1123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1F1123">
              <w:rPr>
                <w:rStyle w:val="Bodytext2"/>
                <w:sz w:val="24"/>
                <w:szCs w:val="24"/>
              </w:rPr>
              <w:t xml:space="preserve">ижний Новгород, Ленинский район, </w:t>
            </w:r>
            <w:r w:rsidRPr="001F1123">
              <w:rPr>
                <w:rStyle w:val="Bodytext2"/>
                <w:sz w:val="24"/>
                <w:szCs w:val="24"/>
              </w:rPr>
              <w:br/>
            </w:r>
            <w:proofErr w:type="spellStart"/>
            <w:r w:rsidRPr="001F1123">
              <w:rPr>
                <w:rStyle w:val="Bodytext2"/>
                <w:sz w:val="24"/>
                <w:szCs w:val="24"/>
              </w:rPr>
              <w:t>ул.Перекопская</w:t>
            </w:r>
            <w:proofErr w:type="spellEnd"/>
            <w:r w:rsidRPr="001F1123">
              <w:rPr>
                <w:rStyle w:val="Bodytext2"/>
                <w:sz w:val="24"/>
                <w:szCs w:val="24"/>
              </w:rPr>
              <w:t xml:space="preserve">, д.3, </w:t>
            </w:r>
            <w:proofErr w:type="spellStart"/>
            <w:r w:rsidRPr="001F1123">
              <w:rPr>
                <w:rStyle w:val="Bodytext2"/>
                <w:sz w:val="24"/>
                <w:szCs w:val="24"/>
              </w:rPr>
              <w:t>пом</w:t>
            </w:r>
            <w:proofErr w:type="spellEnd"/>
            <w:r w:rsidRPr="001F1123">
              <w:rPr>
                <w:rStyle w:val="Bodytext2"/>
                <w:sz w:val="24"/>
                <w:szCs w:val="24"/>
              </w:rPr>
              <w:t xml:space="preserve"> ВП5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52:18:0050257:27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193,0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1938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 xml:space="preserve">Нежилое помещение расположено на первом этаже пятиэтажного жилого дома. Имеется 2 </w:t>
            </w:r>
            <w:proofErr w:type="gramStart"/>
            <w:r w:rsidRPr="001F1123">
              <w:rPr>
                <w:rStyle w:val="Bodytext2"/>
                <w:sz w:val="24"/>
                <w:szCs w:val="24"/>
              </w:rPr>
              <w:t>отдельных</w:t>
            </w:r>
            <w:proofErr w:type="gramEnd"/>
            <w:r w:rsidRPr="001F1123">
              <w:rPr>
                <w:rStyle w:val="Bodytext2"/>
                <w:sz w:val="24"/>
                <w:szCs w:val="24"/>
              </w:rPr>
              <w:t xml:space="preserve"> входа: </w:t>
            </w:r>
            <w:r w:rsidRPr="001F1123">
              <w:rPr>
                <w:rStyle w:val="Bodytext2"/>
                <w:sz w:val="24"/>
                <w:szCs w:val="24"/>
              </w:rPr>
              <w:br/>
              <w:t>с фасада и со двора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E20F1" w:rsidRPr="001F1123" w:rsidRDefault="00050F1A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4 325 624,16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0F1" w:rsidRPr="001F1123" w:rsidRDefault="00050F1A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50F1A">
              <w:rPr>
                <w:b/>
                <w:sz w:val="24"/>
                <w:szCs w:val="24"/>
              </w:rPr>
              <w:t>432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0F1A">
              <w:rPr>
                <w:b/>
                <w:sz w:val="24"/>
                <w:szCs w:val="24"/>
              </w:rPr>
              <w:t>562,41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E20F1" w:rsidRPr="001F1123" w:rsidRDefault="00050F1A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50F1A">
              <w:rPr>
                <w:b/>
                <w:sz w:val="24"/>
                <w:szCs w:val="24"/>
              </w:rPr>
              <w:t>216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0F1A">
              <w:rPr>
                <w:b/>
                <w:sz w:val="24"/>
                <w:szCs w:val="24"/>
              </w:rPr>
              <w:t>281,20</w:t>
            </w:r>
          </w:p>
        </w:tc>
      </w:tr>
      <w:tr w:rsidR="007E20F1" w:rsidRPr="001F1123" w:rsidTr="005B41D6">
        <w:trPr>
          <w:trHeight w:hRule="exact" w:val="2270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1F1123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1F1123">
              <w:rPr>
                <w:rStyle w:val="Bodytext2"/>
                <w:sz w:val="24"/>
                <w:szCs w:val="24"/>
              </w:rPr>
              <w:t xml:space="preserve">ижний Новгород, Нижегородский район, </w:t>
            </w:r>
            <w:r w:rsidRPr="001F1123">
              <w:rPr>
                <w:rStyle w:val="Bodytext2"/>
                <w:sz w:val="24"/>
                <w:szCs w:val="24"/>
              </w:rPr>
              <w:br/>
              <w:t xml:space="preserve">ул.Пожарского, д.10, </w:t>
            </w:r>
            <w:proofErr w:type="spellStart"/>
            <w:r w:rsidRPr="001F1123">
              <w:rPr>
                <w:rStyle w:val="Bodytext2"/>
                <w:sz w:val="24"/>
                <w:szCs w:val="24"/>
              </w:rPr>
              <w:t>пом</w:t>
            </w:r>
            <w:proofErr w:type="spellEnd"/>
            <w:r w:rsidRPr="001F1123">
              <w:rPr>
                <w:rStyle w:val="Bodytext2"/>
                <w:sz w:val="24"/>
                <w:szCs w:val="24"/>
              </w:rPr>
              <w:t xml:space="preserve"> П4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52:18:0060031:120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15,9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Нежилое помещение расположено в подвале двухэтажного жилого дома. Вход совместный с пользователями других жилых помещений через подъезд.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464 291,24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46 429,12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E20F1" w:rsidRPr="001F1123" w:rsidRDefault="006335A8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23 214,56</w:t>
            </w:r>
          </w:p>
        </w:tc>
      </w:tr>
      <w:tr w:rsidR="007E20F1" w:rsidRPr="001F1123" w:rsidTr="00501E44">
        <w:trPr>
          <w:trHeight w:hRule="exact" w:val="2551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1F1123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1F1123">
              <w:rPr>
                <w:rStyle w:val="Bodytext2"/>
                <w:sz w:val="24"/>
                <w:szCs w:val="24"/>
              </w:rPr>
              <w:t xml:space="preserve">ижний Новгород, Нижегородский район, </w:t>
            </w:r>
            <w:r w:rsidRPr="001F1123">
              <w:rPr>
                <w:rStyle w:val="Bodytext2"/>
                <w:sz w:val="24"/>
                <w:szCs w:val="24"/>
              </w:rPr>
              <w:br/>
              <w:t xml:space="preserve">ул.Пискунова, д.18а, </w:t>
            </w:r>
            <w:proofErr w:type="spellStart"/>
            <w:r w:rsidRPr="001F1123">
              <w:rPr>
                <w:rStyle w:val="Bodytext2"/>
                <w:sz w:val="24"/>
                <w:szCs w:val="24"/>
              </w:rPr>
              <w:t>пом</w:t>
            </w:r>
            <w:proofErr w:type="spellEnd"/>
            <w:r w:rsidRPr="001F1123">
              <w:rPr>
                <w:rStyle w:val="Bodytext2"/>
                <w:sz w:val="24"/>
                <w:szCs w:val="24"/>
              </w:rPr>
              <w:t xml:space="preserve"> п3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52:18:0060063:216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25,6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Нежилое помещение расположено в подвале двухэтажного жилого дома. Вход в помещение осуществляется через помещение первого этажа, находящегося в частной собственности.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891 415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89 141,5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E20F1" w:rsidRPr="001F1123" w:rsidRDefault="005B41D6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44 570,75</w:t>
            </w:r>
          </w:p>
        </w:tc>
      </w:tr>
      <w:tr w:rsidR="007E20F1" w:rsidRPr="001F1123" w:rsidTr="00924095">
        <w:trPr>
          <w:trHeight w:hRule="exact" w:val="323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E20F1" w:rsidRPr="001F1123" w:rsidRDefault="005B41D6" w:rsidP="003219DD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rFonts w:eastAsia="TimesNewRomanPSMT"/>
                <w:sz w:val="24"/>
                <w:szCs w:val="24"/>
              </w:rPr>
              <w:t>310/23894</w:t>
            </w:r>
            <w:r w:rsidR="00501E44" w:rsidRPr="001F1123">
              <w:rPr>
                <w:rStyle w:val="Bodytext2"/>
                <w:sz w:val="24"/>
                <w:szCs w:val="24"/>
              </w:rPr>
              <w:t xml:space="preserve"> долей</w:t>
            </w:r>
            <w:r w:rsidRPr="001F1123">
              <w:rPr>
                <w:rStyle w:val="Bodytext2"/>
                <w:sz w:val="24"/>
                <w:szCs w:val="24"/>
              </w:rPr>
              <w:t xml:space="preserve"> в праве общей долевой собственности на нежилое помещение (</w:t>
            </w:r>
            <w:r w:rsidR="00501E44" w:rsidRPr="001F1123">
              <w:rPr>
                <w:rStyle w:val="Bodytext2"/>
                <w:sz w:val="24"/>
                <w:szCs w:val="24"/>
              </w:rPr>
              <w:t>подвал № 1, подвал № 2</w:t>
            </w:r>
            <w:r w:rsidRPr="001F1123">
              <w:rPr>
                <w:rStyle w:val="Bodytext2"/>
                <w:sz w:val="24"/>
                <w:szCs w:val="24"/>
              </w:rPr>
              <w:t>)</w:t>
            </w:r>
            <w:r w:rsidR="00924095" w:rsidRPr="001F1123">
              <w:rPr>
                <w:rStyle w:val="Bodytext2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20F1" w:rsidRPr="001F1123" w:rsidRDefault="00501E44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1F1123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1F1123">
              <w:rPr>
                <w:rStyle w:val="Bodytext2"/>
                <w:sz w:val="24"/>
                <w:szCs w:val="24"/>
              </w:rPr>
              <w:t xml:space="preserve">ижний Новгород, Нижегородский район, </w:t>
            </w:r>
            <w:r w:rsidRPr="001F1123">
              <w:rPr>
                <w:rStyle w:val="Bodytext2"/>
                <w:sz w:val="24"/>
                <w:szCs w:val="24"/>
              </w:rPr>
              <w:br/>
            </w:r>
            <w:proofErr w:type="spellStart"/>
            <w:r w:rsidRPr="001F1123">
              <w:rPr>
                <w:rStyle w:val="Bodytext2"/>
                <w:sz w:val="24"/>
                <w:szCs w:val="24"/>
              </w:rPr>
              <w:t>наб.Казанская</w:t>
            </w:r>
            <w:proofErr w:type="spellEnd"/>
            <w:r w:rsidRPr="001F1123">
              <w:rPr>
                <w:rStyle w:val="Bodytext2"/>
                <w:sz w:val="24"/>
                <w:szCs w:val="24"/>
              </w:rPr>
              <w:t xml:space="preserve">, д.5, </w:t>
            </w:r>
            <w:proofErr w:type="spellStart"/>
            <w:r w:rsidRPr="001F1123">
              <w:rPr>
                <w:rStyle w:val="Bodytext2"/>
                <w:sz w:val="24"/>
                <w:szCs w:val="24"/>
              </w:rPr>
              <w:t>пом</w:t>
            </w:r>
            <w:proofErr w:type="spellEnd"/>
            <w:r w:rsidRPr="001F1123">
              <w:rPr>
                <w:rStyle w:val="Bodytext2"/>
                <w:sz w:val="24"/>
                <w:szCs w:val="24"/>
              </w:rPr>
              <w:t xml:space="preserve"> п42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E20F1" w:rsidRPr="001F1123" w:rsidRDefault="00501E44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sz w:val="24"/>
                <w:szCs w:val="24"/>
              </w:rPr>
              <w:t>52:18:0060160:85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20F1" w:rsidRPr="001F1123" w:rsidRDefault="00501E44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sz w:val="24"/>
                <w:szCs w:val="24"/>
              </w:rPr>
              <w:t>2 389,4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7E20F1" w:rsidRPr="001F1123" w:rsidRDefault="00501E44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E20F1" w:rsidRPr="001F1123" w:rsidRDefault="003219DD" w:rsidP="003219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С</w:t>
            </w:r>
            <w:r w:rsidRPr="001F1123">
              <w:rPr>
                <w:rStyle w:val="Bodytext2"/>
                <w:sz w:val="24"/>
                <w:szCs w:val="24"/>
              </w:rPr>
              <w:t>тояночное место 80-2</w:t>
            </w:r>
            <w:r w:rsidR="00501E44" w:rsidRPr="001F1123">
              <w:rPr>
                <w:rStyle w:val="Bodytext2"/>
                <w:sz w:val="24"/>
                <w:szCs w:val="24"/>
              </w:rPr>
              <w:t xml:space="preserve"> расположено в подвале</w:t>
            </w:r>
            <w:r w:rsidR="00691394">
              <w:rPr>
                <w:rStyle w:val="Bodytext2"/>
                <w:sz w:val="24"/>
                <w:szCs w:val="24"/>
              </w:rPr>
              <w:t xml:space="preserve"> девятнадцати</w:t>
            </w:r>
            <w:r w:rsidR="00501E44" w:rsidRPr="001F1123">
              <w:rPr>
                <w:rStyle w:val="Bodytext2"/>
                <w:sz w:val="24"/>
                <w:szCs w:val="24"/>
              </w:rPr>
              <w:t xml:space="preserve">этажного жилого дома.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E20F1" w:rsidRPr="001F1123" w:rsidRDefault="00924095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1 159 834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0F1" w:rsidRPr="001F1123" w:rsidRDefault="00924095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115 983,4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E20F1" w:rsidRPr="001F1123" w:rsidRDefault="00924095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57 991,7</w:t>
            </w:r>
          </w:p>
        </w:tc>
      </w:tr>
      <w:tr w:rsidR="00924095" w:rsidRPr="001F1123" w:rsidTr="00924095">
        <w:trPr>
          <w:trHeight w:hRule="exact" w:val="325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924095" w:rsidRPr="001F1123" w:rsidRDefault="00924095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924095" w:rsidRPr="001F1123" w:rsidRDefault="00924095" w:rsidP="003219DD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rFonts w:eastAsia="TimesNewRomanPSMT"/>
                <w:sz w:val="24"/>
                <w:szCs w:val="24"/>
              </w:rPr>
              <w:t>310/23894</w:t>
            </w:r>
            <w:r w:rsidRPr="001F1123">
              <w:rPr>
                <w:rStyle w:val="Bodytext2"/>
                <w:sz w:val="24"/>
                <w:szCs w:val="24"/>
              </w:rPr>
              <w:t xml:space="preserve"> долей в праве общей долевой собственности на нежилое помещение (подвал № 1, подвал № 2) 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24095" w:rsidRPr="001F1123" w:rsidRDefault="00924095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1F1123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1F1123">
              <w:rPr>
                <w:rStyle w:val="Bodytext2"/>
                <w:sz w:val="24"/>
                <w:szCs w:val="24"/>
              </w:rPr>
              <w:t xml:space="preserve">ижний Новгород, Нижегородский район, </w:t>
            </w:r>
            <w:r w:rsidRPr="001F1123">
              <w:rPr>
                <w:rStyle w:val="Bodytext2"/>
                <w:sz w:val="24"/>
                <w:szCs w:val="24"/>
              </w:rPr>
              <w:br/>
            </w:r>
            <w:proofErr w:type="spellStart"/>
            <w:r w:rsidRPr="001F1123">
              <w:rPr>
                <w:rStyle w:val="Bodytext2"/>
                <w:sz w:val="24"/>
                <w:szCs w:val="24"/>
              </w:rPr>
              <w:t>наб.Казанская</w:t>
            </w:r>
            <w:proofErr w:type="spellEnd"/>
            <w:r w:rsidRPr="001F1123">
              <w:rPr>
                <w:rStyle w:val="Bodytext2"/>
                <w:sz w:val="24"/>
                <w:szCs w:val="24"/>
              </w:rPr>
              <w:t xml:space="preserve">, д.5, </w:t>
            </w:r>
            <w:proofErr w:type="spellStart"/>
            <w:r w:rsidRPr="001F1123">
              <w:rPr>
                <w:rStyle w:val="Bodytext2"/>
                <w:sz w:val="24"/>
                <w:szCs w:val="24"/>
              </w:rPr>
              <w:t>пом</w:t>
            </w:r>
            <w:proofErr w:type="spellEnd"/>
            <w:r w:rsidRPr="001F1123">
              <w:rPr>
                <w:rStyle w:val="Bodytext2"/>
                <w:sz w:val="24"/>
                <w:szCs w:val="24"/>
              </w:rPr>
              <w:t xml:space="preserve"> п42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24095" w:rsidRPr="001F1123" w:rsidRDefault="00924095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sz w:val="24"/>
                <w:szCs w:val="24"/>
              </w:rPr>
              <w:t>52:18:0060160:85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4095" w:rsidRPr="001F1123" w:rsidRDefault="00924095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sz w:val="24"/>
                <w:szCs w:val="24"/>
              </w:rPr>
              <w:t>2 389,4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924095" w:rsidRPr="001F1123" w:rsidRDefault="00924095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24095" w:rsidRPr="001F1123" w:rsidRDefault="003219DD" w:rsidP="003219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Стояночное место 81</w:t>
            </w:r>
            <w:r w:rsidRPr="001F1123">
              <w:rPr>
                <w:rStyle w:val="Bodytext2"/>
                <w:sz w:val="24"/>
                <w:szCs w:val="24"/>
              </w:rPr>
              <w:t>-2</w:t>
            </w:r>
            <w:r>
              <w:rPr>
                <w:rStyle w:val="Bodytext2"/>
                <w:sz w:val="24"/>
                <w:szCs w:val="24"/>
              </w:rPr>
              <w:t xml:space="preserve"> </w:t>
            </w:r>
            <w:r w:rsidR="00924095" w:rsidRPr="001F1123">
              <w:rPr>
                <w:rStyle w:val="Bodytext2"/>
                <w:sz w:val="24"/>
                <w:szCs w:val="24"/>
              </w:rPr>
              <w:t>расположено в подвале</w:t>
            </w:r>
            <w:r w:rsidR="00691394">
              <w:rPr>
                <w:rStyle w:val="Bodytext2"/>
                <w:sz w:val="24"/>
                <w:szCs w:val="24"/>
              </w:rPr>
              <w:t xml:space="preserve"> девятнадцати</w:t>
            </w:r>
            <w:r w:rsidR="00924095" w:rsidRPr="001F1123">
              <w:rPr>
                <w:rStyle w:val="Bodytext2"/>
                <w:sz w:val="24"/>
                <w:szCs w:val="24"/>
              </w:rPr>
              <w:t>этажного жилого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4095" w:rsidRPr="001F1123" w:rsidRDefault="00924095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1 159 834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4095" w:rsidRPr="001F1123" w:rsidRDefault="00924095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115 983,4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24095" w:rsidRPr="001F1123" w:rsidRDefault="00924095" w:rsidP="001F112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1123">
              <w:rPr>
                <w:b/>
                <w:sz w:val="24"/>
                <w:szCs w:val="24"/>
              </w:rPr>
              <w:t>57 991,7</w:t>
            </w:r>
          </w:p>
        </w:tc>
      </w:tr>
    </w:tbl>
    <w:p w:rsidR="007E20F1" w:rsidRDefault="007E20F1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3414F" w:rsidRDefault="00B16D1E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206B4">
        <w:rPr>
          <w:b/>
          <w:sz w:val="26"/>
          <w:szCs w:val="26"/>
        </w:rPr>
        <w:t>Примечание:</w:t>
      </w:r>
    </w:p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7E20F1" w:rsidRPr="00794338" w:rsidRDefault="001F1123" w:rsidP="007E20F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F1123">
        <w:rPr>
          <w:b/>
          <w:sz w:val="26"/>
          <w:szCs w:val="26"/>
          <w:u w:val="single"/>
        </w:rPr>
        <w:t>По лотам</w:t>
      </w:r>
      <w:r w:rsidR="007E20F1" w:rsidRPr="001F1123">
        <w:rPr>
          <w:b/>
          <w:sz w:val="26"/>
          <w:szCs w:val="26"/>
          <w:u w:val="single"/>
        </w:rPr>
        <w:t xml:space="preserve"> №</w:t>
      </w:r>
      <w:r w:rsidRPr="001F1123">
        <w:rPr>
          <w:b/>
          <w:sz w:val="26"/>
          <w:szCs w:val="26"/>
          <w:u w:val="single"/>
        </w:rPr>
        <w:t>№</w:t>
      </w:r>
      <w:r w:rsidR="007E20F1" w:rsidRPr="001F1123">
        <w:rPr>
          <w:b/>
          <w:sz w:val="26"/>
          <w:szCs w:val="26"/>
          <w:u w:val="single"/>
        </w:rPr>
        <w:t xml:space="preserve"> 1, </w:t>
      </w:r>
      <w:r w:rsidRPr="001F1123">
        <w:rPr>
          <w:b/>
          <w:sz w:val="26"/>
          <w:szCs w:val="26"/>
          <w:u w:val="single"/>
        </w:rPr>
        <w:t xml:space="preserve">4, </w:t>
      </w:r>
      <w:r w:rsidR="007E20F1" w:rsidRPr="001F1123">
        <w:rPr>
          <w:b/>
          <w:sz w:val="26"/>
          <w:szCs w:val="26"/>
          <w:u w:val="single"/>
        </w:rPr>
        <w:t>5:</w:t>
      </w:r>
      <w:r w:rsidR="007E20F1"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7E20F1" w:rsidRDefault="007E20F1" w:rsidP="007E20F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050F1A" w:rsidRDefault="00050F1A" w:rsidP="007E20F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B16D1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№№ 2-5</w:t>
      </w:r>
      <w:r w:rsidRPr="00B16D1E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050F1A" w:rsidRDefault="00050F1A" w:rsidP="007E20F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E20F1" w:rsidRPr="007E20F1" w:rsidRDefault="007E20F1" w:rsidP="007E20F1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24.03.2021 № 49</w:t>
      </w:r>
      <w:r w:rsidRPr="008C2487">
        <w:rPr>
          <w:sz w:val="26"/>
          <w:szCs w:val="26"/>
        </w:rPr>
        <w:t xml:space="preserve"> и постановлением</w:t>
      </w:r>
      <w:r w:rsidRPr="007E20F1">
        <w:rPr>
          <w:color w:val="000000"/>
          <w:sz w:val="26"/>
          <w:szCs w:val="26"/>
        </w:rPr>
        <w:t xml:space="preserve"> администрации города Нижнего Новгорода от 14.05.2021 № 1913.</w:t>
      </w:r>
    </w:p>
    <w:p w:rsidR="007E20F1" w:rsidRDefault="007E20F1" w:rsidP="007E20F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Аукционы от 09.06.2022 № 5232890, от 19.07.2022 № 5237660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D42D2D" w:rsidRDefault="00D42D2D" w:rsidP="007E20F1">
      <w:pPr>
        <w:jc w:val="both"/>
        <w:rPr>
          <w:color w:val="000000"/>
          <w:sz w:val="26"/>
          <w:szCs w:val="26"/>
        </w:rPr>
      </w:pPr>
    </w:p>
    <w:p w:rsidR="00D42D2D" w:rsidRPr="007E20F1" w:rsidRDefault="00D42D2D" w:rsidP="007E20F1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>По лотам №№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2-5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25.01.2023 № 2</w:t>
      </w:r>
      <w:r w:rsidRPr="008C2487">
        <w:rPr>
          <w:sz w:val="26"/>
          <w:szCs w:val="26"/>
        </w:rPr>
        <w:t xml:space="preserve"> и постановлением</w:t>
      </w:r>
      <w:r w:rsidRPr="007E20F1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15.02.2023 № 922</w:t>
      </w:r>
      <w:r w:rsidRPr="007E20F1">
        <w:rPr>
          <w:color w:val="000000"/>
          <w:sz w:val="26"/>
          <w:szCs w:val="26"/>
        </w:rPr>
        <w:t>.</w:t>
      </w:r>
    </w:p>
    <w:p w:rsidR="001F1123" w:rsidRDefault="001F1123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8E454F">
        <w:rPr>
          <w:rFonts w:eastAsia="Calibri"/>
          <w:sz w:val="26"/>
          <w:szCs w:val="26"/>
        </w:rPr>
        <w:t xml:space="preserve"> </w:t>
      </w:r>
      <w:r w:rsidR="001F1123">
        <w:rPr>
          <w:rFonts w:eastAsia="Calibri"/>
          <w:sz w:val="26"/>
          <w:szCs w:val="26"/>
        </w:rPr>
        <w:t>01.03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8E454F">
        <w:rPr>
          <w:rFonts w:eastAsia="Calibri"/>
          <w:sz w:val="26"/>
          <w:szCs w:val="26"/>
        </w:rPr>
        <w:t xml:space="preserve"> </w:t>
      </w:r>
      <w:r w:rsidR="001F1123">
        <w:rPr>
          <w:rFonts w:eastAsia="Calibri"/>
          <w:sz w:val="26"/>
          <w:szCs w:val="26"/>
        </w:rPr>
        <w:t>28</w:t>
      </w:r>
      <w:r w:rsidR="00ED158C">
        <w:rPr>
          <w:rFonts w:eastAsia="Calibri"/>
          <w:sz w:val="26"/>
          <w:szCs w:val="26"/>
        </w:rPr>
        <w:t>.03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8E454F">
        <w:rPr>
          <w:sz w:val="26"/>
          <w:szCs w:val="26"/>
        </w:rPr>
        <w:t xml:space="preserve"> </w:t>
      </w:r>
      <w:r w:rsidR="00ED158C">
        <w:rPr>
          <w:sz w:val="26"/>
          <w:szCs w:val="26"/>
        </w:rPr>
        <w:t>2</w:t>
      </w:r>
      <w:r w:rsidR="001F1123">
        <w:rPr>
          <w:sz w:val="26"/>
          <w:szCs w:val="26"/>
        </w:rPr>
        <w:t>8</w:t>
      </w:r>
      <w:r w:rsidR="00ED158C">
        <w:rPr>
          <w:sz w:val="26"/>
          <w:szCs w:val="26"/>
        </w:rPr>
        <w:t>.03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8E454F">
        <w:rPr>
          <w:rFonts w:eastAsia="Calibri"/>
          <w:sz w:val="26"/>
          <w:szCs w:val="26"/>
        </w:rPr>
        <w:t xml:space="preserve"> </w:t>
      </w:r>
      <w:r w:rsidR="001F1123">
        <w:rPr>
          <w:rFonts w:eastAsia="Calibri"/>
          <w:sz w:val="26"/>
          <w:szCs w:val="26"/>
        </w:rPr>
        <w:t>03.04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8E454F">
        <w:rPr>
          <w:b/>
          <w:sz w:val="26"/>
          <w:szCs w:val="26"/>
          <w:u w:val="single"/>
        </w:rPr>
        <w:t xml:space="preserve"> </w:t>
      </w:r>
      <w:r w:rsidR="001F1123">
        <w:rPr>
          <w:b/>
          <w:sz w:val="26"/>
          <w:szCs w:val="26"/>
          <w:u w:val="single"/>
        </w:rPr>
        <w:t>04</w:t>
      </w:r>
      <w:r w:rsidR="00ED158C">
        <w:rPr>
          <w:b/>
          <w:sz w:val="26"/>
          <w:szCs w:val="26"/>
          <w:u w:val="single"/>
        </w:rPr>
        <w:t>.04.</w:t>
      </w:r>
      <w:r w:rsidR="008C719D" w:rsidRPr="00D62CCC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CE40F6" w:rsidRPr="00D62CCC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lastRenderedPageBreak/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</w:t>
      </w:r>
      <w:r w:rsidRPr="00FE2A2E">
        <w:rPr>
          <w:rFonts w:eastAsia="Calibri"/>
          <w:bCs/>
          <w:color w:val="000000"/>
          <w:sz w:val="26"/>
          <w:szCs w:val="26"/>
        </w:rPr>
        <w:lastRenderedPageBreak/>
        <w:t>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или регистрация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lastRenderedPageBreak/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591AC1" w:rsidRPr="00591AC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591AC1">
        <w:rPr>
          <w:spacing w:val="-3"/>
          <w:sz w:val="26"/>
          <w:szCs w:val="26"/>
        </w:rPr>
      </w:r>
      <w:r w:rsidR="00591AC1">
        <w:rPr>
          <w:spacing w:val="-3"/>
          <w:sz w:val="26"/>
          <w:szCs w:val="26"/>
        </w:rPr>
        <w:fldChar w:fldCharType="separate"/>
      </w:r>
      <w:r w:rsidR="00591AC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95" w:rsidRDefault="00924095" w:rsidP="00D42863">
      <w:r>
        <w:separator/>
      </w:r>
    </w:p>
  </w:endnote>
  <w:endnote w:type="continuationSeparator" w:id="0">
    <w:p w:rsidR="00924095" w:rsidRDefault="00924095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95" w:rsidRDefault="00924095" w:rsidP="00D42863">
      <w:r>
        <w:separator/>
      </w:r>
    </w:p>
  </w:footnote>
  <w:footnote w:type="continuationSeparator" w:id="0">
    <w:p w:rsidR="00924095" w:rsidRDefault="00924095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95" w:rsidRDefault="00591AC1">
    <w:pPr>
      <w:pStyle w:val="ab"/>
      <w:jc w:val="center"/>
    </w:pPr>
    <w:fldSimple w:instr=" PAGE   \* MERGEFORMAT ">
      <w:r w:rsidR="0018723C">
        <w:rPr>
          <w:noProof/>
        </w:rPr>
        <w:t>2</w:t>
      </w:r>
    </w:fldSimple>
  </w:p>
  <w:p w:rsidR="00924095" w:rsidRDefault="0092409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240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8723C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1AC1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88D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4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4B99B-3C0E-4768-8284-31293D70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5740</Words>
  <Characters>42783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48427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14</cp:revision>
  <cp:lastPrinted>2023-02-27T14:05:00Z</cp:lastPrinted>
  <dcterms:created xsi:type="dcterms:W3CDTF">2023-02-27T10:28:00Z</dcterms:created>
  <dcterms:modified xsi:type="dcterms:W3CDTF">2023-02-28T14:22:00Z</dcterms:modified>
</cp:coreProperties>
</file>