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2B47E5">
        <w:rPr>
          <w:b/>
          <w:color w:val="000000"/>
          <w:sz w:val="26"/>
          <w:szCs w:val="26"/>
        </w:rPr>
        <w:t>20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FC2F2E">
        <w:rPr>
          <w:b/>
          <w:sz w:val="30"/>
          <w:szCs w:val="30"/>
          <w:u w:val="single"/>
        </w:rPr>
        <w:t>20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апреля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2B741E" w:rsidRPr="00894AB4" w:rsidTr="002B741E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лот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Наименование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Общая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площадь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объекта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894AB4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Начальная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цена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объекта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11pt"/>
              </w:rPr>
              <w:t>(руб.)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Задаток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11pt"/>
              </w:rPr>
              <w:t>(руб.)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Шаг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аукциона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894AB4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2B741E" w:rsidRPr="00894AB4" w:rsidTr="002B741E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4AB4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2B741E" w:rsidRPr="0089085A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Нежилое здание</w:t>
            </w:r>
          </w:p>
          <w:p w:rsidR="002B741E" w:rsidRPr="0089085A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(количество этажей: 2, в том числе подземных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B741E" w:rsidRPr="0089085A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г</w:t>
            </w:r>
            <w:proofErr w:type="gramStart"/>
            <w:r w:rsidRPr="0089085A">
              <w:rPr>
                <w:sz w:val="22"/>
                <w:szCs w:val="22"/>
              </w:rPr>
              <w:t>.Н</w:t>
            </w:r>
            <w:proofErr w:type="gramEnd"/>
            <w:r w:rsidRPr="0089085A">
              <w:rPr>
                <w:sz w:val="22"/>
                <w:szCs w:val="22"/>
              </w:rPr>
              <w:t xml:space="preserve">ижний Новгород, Ленинский район, </w:t>
            </w:r>
            <w:proofErr w:type="spellStart"/>
            <w:r w:rsidRPr="0089085A">
              <w:rPr>
                <w:sz w:val="22"/>
                <w:szCs w:val="22"/>
              </w:rPr>
              <w:t>ул.Грекова</w:t>
            </w:r>
            <w:proofErr w:type="spellEnd"/>
            <w:r w:rsidRPr="0089085A">
              <w:rPr>
                <w:sz w:val="22"/>
                <w:szCs w:val="22"/>
              </w:rPr>
              <w:t>, д.9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2B741E" w:rsidRPr="0089085A" w:rsidRDefault="002B741E" w:rsidP="002B741E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52:18:0050294:307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B741E" w:rsidRPr="0089085A" w:rsidRDefault="002B741E" w:rsidP="002B741E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826,7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2B741E" w:rsidRPr="0089085A" w:rsidRDefault="002B741E" w:rsidP="002B741E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1951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2B741E" w:rsidRPr="0089085A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Нежилое отдельно стоящ</w:t>
            </w:r>
            <w:r>
              <w:rPr>
                <w:sz w:val="22"/>
                <w:szCs w:val="22"/>
              </w:rPr>
              <w:t>ее двухэтажное здание. Имеется 5 входов</w:t>
            </w:r>
            <w:r w:rsidRPr="0089085A">
              <w:rPr>
                <w:sz w:val="22"/>
                <w:szCs w:val="22"/>
              </w:rPr>
              <w:t>: 1 – с фасада, 1 – со двора, 1 – с торца</w:t>
            </w:r>
            <w:r>
              <w:rPr>
                <w:sz w:val="22"/>
                <w:szCs w:val="22"/>
              </w:rPr>
              <w:t xml:space="preserve"> в подвал</w:t>
            </w:r>
            <w:r w:rsidRPr="0089085A">
              <w:rPr>
                <w:sz w:val="22"/>
                <w:szCs w:val="22"/>
              </w:rPr>
              <w:t xml:space="preserve">, 2 – </w:t>
            </w:r>
            <w:r>
              <w:rPr>
                <w:sz w:val="22"/>
                <w:szCs w:val="22"/>
              </w:rPr>
              <w:t>на второй</w:t>
            </w:r>
            <w:r w:rsidRPr="0089085A">
              <w:rPr>
                <w:sz w:val="22"/>
                <w:szCs w:val="22"/>
              </w:rPr>
              <w:t xml:space="preserve"> этаж по металлическому лестничному маршу с торцов здания.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B741E" w:rsidRPr="0089085A" w:rsidRDefault="002B741E" w:rsidP="002B741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085A">
              <w:rPr>
                <w:b/>
                <w:sz w:val="22"/>
                <w:szCs w:val="22"/>
              </w:rPr>
              <w:t xml:space="preserve">11 573 088 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B741E" w:rsidRPr="0089085A" w:rsidRDefault="002B741E" w:rsidP="002B741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1 157 308,8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2B741E" w:rsidRPr="0089085A" w:rsidRDefault="002B741E" w:rsidP="002B741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085A">
              <w:rPr>
                <w:b/>
                <w:sz w:val="22"/>
                <w:szCs w:val="22"/>
              </w:rPr>
              <w:t>578 654,4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B741E" w:rsidRPr="0089085A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1 620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2B741E" w:rsidRPr="0089085A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52:18:0050294:70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2B741E" w:rsidRPr="0089085A" w:rsidRDefault="002B741E" w:rsidP="002B741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085A">
              <w:rPr>
                <w:b/>
                <w:sz w:val="22"/>
                <w:szCs w:val="22"/>
              </w:rPr>
              <w:t>4 143 311,48</w:t>
            </w:r>
          </w:p>
        </w:tc>
      </w:tr>
      <w:tr w:rsidR="002B741E" w:rsidRPr="00894AB4" w:rsidTr="002B741E">
        <w:trPr>
          <w:trHeight w:hRule="exact" w:val="226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4AB4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sz w:val="22"/>
                <w:szCs w:val="22"/>
              </w:rPr>
              <w:t>Нежилое помещение</w:t>
            </w:r>
          </w:p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sz w:val="22"/>
                <w:szCs w:val="22"/>
              </w:rPr>
              <w:t>(этаж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sz w:val="22"/>
                <w:szCs w:val="22"/>
              </w:rPr>
              <w:t>г</w:t>
            </w:r>
            <w:proofErr w:type="gramStart"/>
            <w:r w:rsidRPr="00894AB4">
              <w:rPr>
                <w:sz w:val="22"/>
                <w:szCs w:val="22"/>
              </w:rPr>
              <w:t>.Н</w:t>
            </w:r>
            <w:proofErr w:type="gramEnd"/>
            <w:r w:rsidRPr="00894AB4">
              <w:rPr>
                <w:sz w:val="22"/>
                <w:szCs w:val="22"/>
              </w:rPr>
              <w:t xml:space="preserve">ижний Новгород, Автозаводский район, ул.Орбели, д.1, </w:t>
            </w:r>
            <w:proofErr w:type="spellStart"/>
            <w:r w:rsidRPr="00894AB4">
              <w:rPr>
                <w:sz w:val="22"/>
                <w:szCs w:val="22"/>
              </w:rPr>
              <w:t>пом</w:t>
            </w:r>
            <w:proofErr w:type="spellEnd"/>
            <w:r w:rsidRPr="00894AB4">
              <w:rPr>
                <w:sz w:val="22"/>
                <w:szCs w:val="22"/>
              </w:rPr>
              <w:t xml:space="preserve"> П5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52:18:0040328:1830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89,5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1995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этаже одноэтажного нежилого здания. Вход через помещение П</w:t>
            </w:r>
            <w:proofErr w:type="gramStart"/>
            <w:r w:rsidRPr="00894AB4">
              <w:rPr>
                <w:color w:val="000000"/>
                <w:sz w:val="22"/>
                <w:szCs w:val="22"/>
                <w:lang w:bidi="ru-RU"/>
              </w:rPr>
              <w:t>2</w:t>
            </w:r>
            <w:proofErr w:type="gramEnd"/>
            <w:r w:rsidRPr="00894AB4">
              <w:rPr>
                <w:color w:val="000000"/>
                <w:sz w:val="22"/>
                <w:szCs w:val="22"/>
                <w:lang w:bidi="ru-RU"/>
              </w:rPr>
              <w:t>, находящееся в частной собственности.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b/>
                <w:sz w:val="22"/>
                <w:szCs w:val="22"/>
              </w:rPr>
            </w:pPr>
            <w:r w:rsidRPr="00894AB4">
              <w:rPr>
                <w:b/>
                <w:sz w:val="22"/>
                <w:szCs w:val="22"/>
              </w:rPr>
              <w:t>1 900 771,47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b/>
                <w:sz w:val="22"/>
                <w:szCs w:val="22"/>
              </w:rPr>
            </w:pPr>
            <w:r w:rsidRPr="00894AB4">
              <w:rPr>
                <w:b/>
                <w:sz w:val="22"/>
                <w:szCs w:val="22"/>
              </w:rPr>
              <w:t>190 077,14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b/>
                <w:sz w:val="22"/>
                <w:szCs w:val="22"/>
              </w:rPr>
            </w:pPr>
            <w:r w:rsidRPr="00894AB4">
              <w:rPr>
                <w:b/>
                <w:sz w:val="22"/>
                <w:szCs w:val="22"/>
              </w:rPr>
              <w:t>95 038,57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sz w:val="22"/>
                <w:szCs w:val="22"/>
              </w:rPr>
            </w:pPr>
            <w:r w:rsidRPr="00894AB4"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sz w:val="22"/>
                <w:szCs w:val="22"/>
              </w:rPr>
            </w:pPr>
            <w:r w:rsidRPr="00894AB4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4AB4">
              <w:rPr>
                <w:b/>
                <w:sz w:val="22"/>
                <w:szCs w:val="22"/>
              </w:rPr>
              <w:t>-</w:t>
            </w:r>
          </w:p>
        </w:tc>
      </w:tr>
      <w:tr w:rsidR="002B741E" w:rsidRPr="00894AB4" w:rsidTr="002B741E">
        <w:trPr>
          <w:trHeight w:hRule="exact" w:val="2270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4AB4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2B741E" w:rsidRPr="00AC3705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AC3705">
              <w:rPr>
                <w:sz w:val="22"/>
                <w:szCs w:val="22"/>
              </w:rPr>
              <w:t>Нежилое помещение (цокольный этаж)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B741E" w:rsidRPr="00AC3705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AC3705">
              <w:rPr>
                <w:sz w:val="22"/>
                <w:szCs w:val="22"/>
              </w:rPr>
              <w:t>г</w:t>
            </w:r>
            <w:proofErr w:type="gramStart"/>
            <w:r w:rsidRPr="00AC3705">
              <w:rPr>
                <w:sz w:val="22"/>
                <w:szCs w:val="22"/>
              </w:rPr>
              <w:t>.Н</w:t>
            </w:r>
            <w:proofErr w:type="gramEnd"/>
            <w:r w:rsidRPr="00AC3705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AC3705">
              <w:rPr>
                <w:sz w:val="22"/>
                <w:szCs w:val="22"/>
              </w:rPr>
              <w:t>Канавинский</w:t>
            </w:r>
            <w:proofErr w:type="spellEnd"/>
            <w:r w:rsidRPr="00AC3705">
              <w:rPr>
                <w:sz w:val="22"/>
                <w:szCs w:val="22"/>
              </w:rPr>
              <w:t xml:space="preserve"> район, ул.Коммунистическая, д.86, </w:t>
            </w:r>
            <w:proofErr w:type="spellStart"/>
            <w:r w:rsidRPr="00AC3705">
              <w:rPr>
                <w:sz w:val="22"/>
                <w:szCs w:val="22"/>
              </w:rPr>
              <w:t>пом</w:t>
            </w:r>
            <w:proofErr w:type="spellEnd"/>
            <w:r w:rsidRPr="00AC3705"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2B741E" w:rsidRPr="00AC3705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AC3705">
              <w:rPr>
                <w:sz w:val="22"/>
                <w:szCs w:val="22"/>
              </w:rPr>
              <w:t>52:18:0030092:53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B741E" w:rsidRPr="00AC3705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AC3705">
              <w:rPr>
                <w:sz w:val="22"/>
                <w:szCs w:val="22"/>
              </w:rPr>
              <w:t>78,0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2B741E" w:rsidRPr="00AC3705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AC3705">
              <w:rPr>
                <w:sz w:val="22"/>
                <w:szCs w:val="22"/>
              </w:rPr>
              <w:t>1916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2B741E" w:rsidRPr="00AC3705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AC3705">
              <w:rPr>
                <w:sz w:val="22"/>
                <w:szCs w:val="22"/>
              </w:rPr>
              <w:t>Нежилое помещение расположено на цокольном этаже одноэтажного жилого дома.</w:t>
            </w:r>
          </w:p>
          <w:p w:rsidR="002B741E" w:rsidRPr="00AC3705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AC3705">
              <w:rPr>
                <w:sz w:val="22"/>
                <w:szCs w:val="22"/>
              </w:rPr>
              <w:t xml:space="preserve">Имеется 2 </w:t>
            </w:r>
            <w:proofErr w:type="gramStart"/>
            <w:r w:rsidRPr="00AC3705">
              <w:rPr>
                <w:sz w:val="22"/>
                <w:szCs w:val="22"/>
              </w:rPr>
              <w:t>отдельных</w:t>
            </w:r>
            <w:proofErr w:type="gramEnd"/>
            <w:r w:rsidRPr="00AC3705">
              <w:rPr>
                <w:sz w:val="22"/>
                <w:szCs w:val="22"/>
              </w:rPr>
              <w:t xml:space="preserve">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2 131 021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b/>
                <w:sz w:val="22"/>
                <w:szCs w:val="22"/>
              </w:rPr>
            </w:pPr>
            <w:r w:rsidRPr="003902B6">
              <w:rPr>
                <w:b/>
                <w:sz w:val="22"/>
                <w:szCs w:val="22"/>
              </w:rPr>
              <w:t>213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2B6">
              <w:rPr>
                <w:b/>
                <w:sz w:val="22"/>
                <w:szCs w:val="22"/>
              </w:rPr>
              <w:t>102,1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b/>
                <w:sz w:val="22"/>
                <w:szCs w:val="22"/>
              </w:rPr>
            </w:pPr>
            <w:r w:rsidRPr="003902B6">
              <w:rPr>
                <w:b/>
                <w:sz w:val="22"/>
                <w:szCs w:val="22"/>
              </w:rPr>
              <w:t>106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2B6">
              <w:rPr>
                <w:b/>
                <w:sz w:val="22"/>
                <w:szCs w:val="22"/>
              </w:rPr>
              <w:t>551,05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sz w:val="22"/>
                <w:szCs w:val="22"/>
              </w:rPr>
            </w:pPr>
            <w:r w:rsidRPr="00894AB4"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sz w:val="22"/>
                <w:szCs w:val="22"/>
              </w:rPr>
            </w:pPr>
            <w:r w:rsidRPr="00894AB4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4AB4">
              <w:rPr>
                <w:b/>
                <w:sz w:val="22"/>
                <w:szCs w:val="22"/>
              </w:rPr>
              <w:t>-</w:t>
            </w:r>
          </w:p>
        </w:tc>
      </w:tr>
      <w:tr w:rsidR="002B741E" w:rsidRPr="00894AB4" w:rsidTr="002B741E">
        <w:trPr>
          <w:trHeight w:hRule="exact" w:val="252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4AB4">
              <w:rPr>
                <w:rStyle w:val="Bodytext2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2B741E" w:rsidRPr="0025689E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25689E">
              <w:rPr>
                <w:sz w:val="22"/>
                <w:szCs w:val="22"/>
              </w:rPr>
              <w:t xml:space="preserve">Нежилое помещение </w:t>
            </w:r>
            <w:r w:rsidRPr="0025689E">
              <w:rPr>
                <w:sz w:val="22"/>
                <w:szCs w:val="22"/>
              </w:rPr>
              <w:br/>
              <w:t>(этаж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2B741E" w:rsidRPr="0025689E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25689E">
              <w:rPr>
                <w:sz w:val="22"/>
                <w:szCs w:val="22"/>
              </w:rPr>
              <w:t>г</w:t>
            </w:r>
            <w:proofErr w:type="gramStart"/>
            <w:r w:rsidRPr="0025689E">
              <w:rPr>
                <w:sz w:val="22"/>
                <w:szCs w:val="22"/>
              </w:rPr>
              <w:t>.Н</w:t>
            </w:r>
            <w:proofErr w:type="gramEnd"/>
            <w:r w:rsidRPr="0025689E">
              <w:rPr>
                <w:sz w:val="22"/>
                <w:szCs w:val="22"/>
              </w:rPr>
              <w:t xml:space="preserve">ижний Новгород, Автозаводский район, ул.Космическая, д.50, </w:t>
            </w:r>
            <w:proofErr w:type="spellStart"/>
            <w:r w:rsidRPr="0025689E">
              <w:rPr>
                <w:sz w:val="22"/>
                <w:szCs w:val="22"/>
              </w:rPr>
              <w:t>пом</w:t>
            </w:r>
            <w:proofErr w:type="spellEnd"/>
            <w:r w:rsidRPr="0025689E">
              <w:rPr>
                <w:sz w:val="22"/>
                <w:szCs w:val="22"/>
              </w:rPr>
              <w:t xml:space="preserve"> П62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2B741E" w:rsidRPr="0025689E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25689E">
              <w:rPr>
                <w:sz w:val="22"/>
                <w:szCs w:val="22"/>
              </w:rPr>
              <w:t>52:18:0040363:2831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B741E" w:rsidRPr="0025689E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25689E">
              <w:rPr>
                <w:sz w:val="22"/>
                <w:szCs w:val="22"/>
              </w:rPr>
              <w:t>7,2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2B741E" w:rsidRPr="0025689E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25689E">
              <w:rPr>
                <w:sz w:val="22"/>
                <w:szCs w:val="22"/>
              </w:rPr>
              <w:t>1987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2B741E" w:rsidRPr="0025689E" w:rsidRDefault="002B741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25689E">
              <w:rPr>
                <w:sz w:val="22"/>
                <w:szCs w:val="22"/>
              </w:rPr>
              <w:t xml:space="preserve">Нежилое помещение расположено на первом этаже трехэтажного нежилого </w:t>
            </w:r>
            <w:proofErr w:type="spellStart"/>
            <w:r w:rsidRPr="0025689E">
              <w:rPr>
                <w:sz w:val="22"/>
                <w:szCs w:val="22"/>
              </w:rPr>
              <w:t>пристроя</w:t>
            </w:r>
            <w:proofErr w:type="spellEnd"/>
            <w:r w:rsidRPr="0025689E">
              <w:rPr>
                <w:sz w:val="22"/>
                <w:szCs w:val="22"/>
              </w:rPr>
              <w:t xml:space="preserve"> к девятиэтажному жилому дому.</w:t>
            </w:r>
            <w:proofErr w:type="gramEnd"/>
            <w:r w:rsidRPr="0025689E">
              <w:rPr>
                <w:sz w:val="22"/>
                <w:szCs w:val="22"/>
              </w:rPr>
              <w:t xml:space="preserve"> Вход совместный с другими пользователями.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258 842,26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b/>
                <w:sz w:val="22"/>
                <w:szCs w:val="22"/>
              </w:rPr>
            </w:pPr>
            <w:r w:rsidRPr="003902B6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2B6">
              <w:rPr>
                <w:b/>
                <w:sz w:val="22"/>
                <w:szCs w:val="22"/>
              </w:rPr>
              <w:t>884,22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b/>
                <w:sz w:val="22"/>
                <w:szCs w:val="22"/>
              </w:rPr>
            </w:pPr>
            <w:r w:rsidRPr="003902B6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2B6">
              <w:rPr>
                <w:b/>
                <w:sz w:val="22"/>
                <w:szCs w:val="22"/>
              </w:rPr>
              <w:t>942,11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2B741E" w:rsidRPr="00894AB4" w:rsidRDefault="002B741E" w:rsidP="002B741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C2F2E" w:rsidRPr="00894AB4" w:rsidTr="002B741E">
        <w:trPr>
          <w:trHeight w:hRule="exact" w:val="240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C2F2E" w:rsidRPr="00894AB4" w:rsidRDefault="00FC2F2E" w:rsidP="002B741E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4AB4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FC2F2E" w:rsidRPr="00F23E2C" w:rsidRDefault="00FC2F2E" w:rsidP="002B741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23E2C">
              <w:rPr>
                <w:color w:val="000000"/>
                <w:sz w:val="22"/>
                <w:szCs w:val="22"/>
                <w:lang w:bidi="ru-RU"/>
              </w:rPr>
              <w:t xml:space="preserve">Нежилое помещение </w:t>
            </w:r>
            <w:r w:rsidRPr="00F23E2C">
              <w:rPr>
                <w:sz w:val="22"/>
                <w:szCs w:val="22"/>
              </w:rPr>
              <w:t>(подвал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FC2F2E" w:rsidRPr="00F23E2C" w:rsidRDefault="00FC2F2E" w:rsidP="002B741E">
            <w:pPr>
              <w:ind w:left="57" w:right="57"/>
              <w:jc w:val="center"/>
              <w:rPr>
                <w:sz w:val="22"/>
                <w:szCs w:val="22"/>
              </w:rPr>
            </w:pPr>
            <w:r w:rsidRPr="00F23E2C">
              <w:rPr>
                <w:sz w:val="22"/>
                <w:szCs w:val="22"/>
              </w:rPr>
              <w:t>г</w:t>
            </w:r>
            <w:proofErr w:type="gramStart"/>
            <w:r w:rsidRPr="00F23E2C">
              <w:rPr>
                <w:sz w:val="22"/>
                <w:szCs w:val="22"/>
              </w:rPr>
              <w:t>.Н</w:t>
            </w:r>
            <w:proofErr w:type="gramEnd"/>
            <w:r w:rsidRPr="00F23E2C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F23E2C">
              <w:rPr>
                <w:sz w:val="22"/>
                <w:szCs w:val="22"/>
              </w:rPr>
              <w:t>Сормовский</w:t>
            </w:r>
            <w:proofErr w:type="spellEnd"/>
            <w:r w:rsidRPr="00F23E2C">
              <w:rPr>
                <w:sz w:val="22"/>
                <w:szCs w:val="22"/>
              </w:rPr>
              <w:t xml:space="preserve"> район, </w:t>
            </w:r>
            <w:proofErr w:type="spellStart"/>
            <w:r w:rsidRPr="00F23E2C">
              <w:rPr>
                <w:sz w:val="22"/>
                <w:szCs w:val="22"/>
              </w:rPr>
              <w:t>ул.Светлоярская</w:t>
            </w:r>
            <w:proofErr w:type="spellEnd"/>
            <w:r w:rsidRPr="00F23E2C">
              <w:rPr>
                <w:sz w:val="22"/>
                <w:szCs w:val="22"/>
              </w:rPr>
              <w:t>, д.32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FC2F2E" w:rsidRPr="00F23E2C" w:rsidRDefault="00FC2F2E" w:rsidP="002B741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23E2C">
              <w:rPr>
                <w:color w:val="000000"/>
                <w:sz w:val="22"/>
                <w:szCs w:val="22"/>
                <w:lang w:bidi="ru-RU"/>
              </w:rPr>
              <w:t>52:18:0010507:67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C2F2E" w:rsidRPr="00F23E2C" w:rsidRDefault="00FC2F2E" w:rsidP="002B741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23E2C">
              <w:rPr>
                <w:color w:val="000000"/>
                <w:sz w:val="22"/>
                <w:szCs w:val="22"/>
                <w:lang w:bidi="ru-RU"/>
              </w:rPr>
              <w:t>45,3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C2F2E" w:rsidRPr="00F23E2C" w:rsidRDefault="00FC2F2E" w:rsidP="002B741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23E2C">
              <w:rPr>
                <w:color w:val="000000"/>
                <w:sz w:val="22"/>
                <w:szCs w:val="22"/>
                <w:lang w:bidi="ru-RU"/>
              </w:rPr>
              <w:t>1961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C2F2E" w:rsidRPr="00F23E2C" w:rsidRDefault="00FC2F2E" w:rsidP="002B741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23E2C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в подвале трехэтажного жилого дома.</w:t>
            </w:r>
          </w:p>
          <w:p w:rsidR="00FC2F2E" w:rsidRPr="00F23E2C" w:rsidRDefault="00FC2F2E" w:rsidP="002B741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23E2C">
              <w:rPr>
                <w:color w:val="000000"/>
                <w:sz w:val="22"/>
                <w:szCs w:val="22"/>
                <w:lang w:bidi="ru-RU"/>
              </w:rPr>
              <w:t>Вход совместный с другими нежилыми помещениями через подъезд № 2.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FC2F2E" w:rsidRPr="00894AB4" w:rsidRDefault="00FC2F2E" w:rsidP="002B74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962 873,16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FC2F2E" w:rsidRPr="00894AB4" w:rsidRDefault="00FC2F2E" w:rsidP="002B741E">
            <w:pPr>
              <w:jc w:val="center"/>
              <w:rPr>
                <w:b/>
                <w:sz w:val="22"/>
                <w:szCs w:val="22"/>
              </w:rPr>
            </w:pPr>
            <w:r w:rsidRPr="00015036">
              <w:rPr>
                <w:b/>
                <w:sz w:val="22"/>
                <w:szCs w:val="22"/>
              </w:rPr>
              <w:t>96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15036">
              <w:rPr>
                <w:b/>
                <w:sz w:val="22"/>
                <w:szCs w:val="22"/>
              </w:rPr>
              <w:t>287,31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FC2F2E" w:rsidRPr="00894AB4" w:rsidRDefault="00FC2F2E" w:rsidP="002B741E">
            <w:pPr>
              <w:jc w:val="center"/>
              <w:rPr>
                <w:b/>
                <w:sz w:val="22"/>
                <w:szCs w:val="22"/>
              </w:rPr>
            </w:pPr>
            <w:r w:rsidRPr="00015036">
              <w:rPr>
                <w:b/>
                <w:sz w:val="22"/>
                <w:szCs w:val="22"/>
              </w:rPr>
              <w:t>48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15036">
              <w:rPr>
                <w:b/>
                <w:sz w:val="22"/>
                <w:szCs w:val="22"/>
              </w:rPr>
              <w:t>143,65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C2F2E" w:rsidRPr="00894AB4" w:rsidRDefault="00FC2F2E" w:rsidP="00733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FC2F2E" w:rsidRPr="00894AB4" w:rsidRDefault="00FC2F2E" w:rsidP="00733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FC2F2E" w:rsidRPr="00894AB4" w:rsidRDefault="00FC2F2E" w:rsidP="00733FA7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7E20F1" w:rsidRDefault="007E20F1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3414F" w:rsidRDefault="00B16D1E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206B4">
        <w:rPr>
          <w:b/>
          <w:sz w:val="26"/>
          <w:szCs w:val="26"/>
        </w:rPr>
        <w:t>Примечание:</w:t>
      </w:r>
    </w:p>
    <w:p w:rsidR="008062F6" w:rsidRDefault="008062F6" w:rsidP="008062F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1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</w:t>
      </w:r>
      <w:r>
        <w:rPr>
          <w:b/>
          <w:sz w:val="26"/>
          <w:szCs w:val="26"/>
        </w:rPr>
        <w:t>0050294:70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>
        <w:rPr>
          <w:b/>
          <w:sz w:val="26"/>
          <w:szCs w:val="26"/>
        </w:rPr>
        <w:t>1620,0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коммунальное обслуживание</w:t>
      </w:r>
      <w:r w:rsidRPr="008C2487">
        <w:rPr>
          <w:b/>
          <w:sz w:val="26"/>
          <w:szCs w:val="26"/>
        </w:rPr>
        <w:t>.</w:t>
      </w:r>
      <w:r w:rsidRPr="001031AC">
        <w:rPr>
          <w:b/>
          <w:sz w:val="26"/>
          <w:szCs w:val="26"/>
        </w:rPr>
        <w:t xml:space="preserve"> </w:t>
      </w:r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4 143 311 (ч</w:t>
      </w:r>
      <w:r w:rsidRPr="00F362DB">
        <w:rPr>
          <w:b/>
          <w:sz w:val="26"/>
          <w:szCs w:val="26"/>
        </w:rPr>
        <w:t>етыре миллиона сто сорок три тысячи триста одиннадцать</w:t>
      </w:r>
      <w:r>
        <w:rPr>
          <w:b/>
          <w:sz w:val="26"/>
          <w:szCs w:val="26"/>
        </w:rPr>
        <w:t xml:space="preserve">) рублей 48 копеек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 xml:space="preserve">В соответствии с Правилами </w:t>
      </w:r>
      <w:r w:rsidRPr="008C2487">
        <w:rPr>
          <w:b/>
          <w:sz w:val="26"/>
          <w:szCs w:val="26"/>
        </w:rPr>
        <w:t>землепользования и застройки города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 xml:space="preserve">, </w:t>
      </w:r>
      <w:r w:rsidRPr="00F362DB">
        <w:rPr>
          <w:b/>
          <w:sz w:val="26"/>
          <w:szCs w:val="26"/>
        </w:rPr>
        <w:t>земельный участок расположен в границах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территориальной зоны </w:t>
      </w:r>
      <w:proofErr w:type="gramStart"/>
      <w:r w:rsidRPr="00F362DB">
        <w:rPr>
          <w:b/>
          <w:sz w:val="26"/>
          <w:szCs w:val="26"/>
        </w:rPr>
        <w:t>П</w:t>
      </w:r>
      <w:proofErr w:type="gramEnd"/>
      <w:r w:rsidRPr="00F362DB">
        <w:rPr>
          <w:b/>
          <w:sz w:val="26"/>
          <w:szCs w:val="26"/>
        </w:rPr>
        <w:t>*ТО-3 (зона реорганизации застройки 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многофункциональную общественную застройку, коммунально-обслуживающих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функций, административно-производственных объектов, </w:t>
      </w:r>
      <w:proofErr w:type="spellStart"/>
      <w:r w:rsidRPr="00F362DB">
        <w:rPr>
          <w:b/>
          <w:sz w:val="26"/>
          <w:szCs w:val="26"/>
        </w:rPr>
        <w:t>мелко-оптовой</w:t>
      </w:r>
      <w:proofErr w:type="spellEnd"/>
      <w:r w:rsidRPr="00F362DB">
        <w:rPr>
          <w:b/>
          <w:sz w:val="26"/>
          <w:szCs w:val="26"/>
        </w:rPr>
        <w:t xml:space="preserve"> и оптовой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торговли, крупных рынков городского и местного значения, малого бизнеса,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преимущественно ориентированные на автомобилистов).</w:t>
      </w:r>
      <w:r>
        <w:rPr>
          <w:b/>
          <w:sz w:val="26"/>
          <w:szCs w:val="26"/>
        </w:rPr>
        <w:t xml:space="preserve"> </w:t>
      </w:r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Согласно данным автоматизированной информационной системы учета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объектов нового строительства и закрепления существующих земельных участков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администрации города Нижнего Новгорода земельный участок с кадастровым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номером 52:18:0050294:70 расположен в границах:</w:t>
      </w:r>
      <w:r>
        <w:rPr>
          <w:b/>
          <w:sz w:val="26"/>
          <w:szCs w:val="26"/>
        </w:rPr>
        <w:t xml:space="preserve"> </w:t>
      </w:r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санитарного разрыва вдоль стандартных маршрутов взлета и посадки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воздушных судов ОАО «Международный аэропорт Нижний Новгород» - зона «А»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(санитарно-эпидемиологическое заключение Управления Федеральной службы по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надзору в сфере защиты прав потребителей и благополучия человека по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Нижегородской области № 52.НЦ.04.000.Т.001034.09.13 от 05.09.2013);</w:t>
      </w:r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lastRenderedPageBreak/>
        <w:t>- зоны санитарного разрыва вдоль стандартных маршрутов взлета и посадки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воздушных судов ОАО «</w:t>
      </w:r>
      <w:proofErr w:type="gramStart"/>
      <w:r w:rsidRPr="00F362DB">
        <w:rPr>
          <w:b/>
          <w:sz w:val="26"/>
          <w:szCs w:val="26"/>
        </w:rPr>
        <w:t>НАЗ</w:t>
      </w:r>
      <w:proofErr w:type="gramEnd"/>
      <w:r w:rsidRPr="00F362DB">
        <w:rPr>
          <w:b/>
          <w:sz w:val="26"/>
          <w:szCs w:val="26"/>
        </w:rPr>
        <w:t xml:space="preserve"> «Сокол» - зона «А» (санитарно-эпидемиологическое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заключение Управления Федеральной службы по надзору в сфере защиты прав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потребителей и благополучия человека по Нижегородской области №52.НЦ.04.000.Т.000203.03.14 от 20.03.2014);</w:t>
      </w:r>
    </w:p>
    <w:p w:rsidR="00FC2F2E" w:rsidRPr="00F362DB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санитарной охраны водозаборов (3 пояс), (подающих воду из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поверхностного источника питьевого и хозяйственно-бытового водоснабжения -</w:t>
      </w:r>
      <w:r>
        <w:rPr>
          <w:b/>
          <w:sz w:val="26"/>
          <w:szCs w:val="26"/>
        </w:rPr>
        <w:t xml:space="preserve"> </w:t>
      </w:r>
      <w:proofErr w:type="spellStart"/>
      <w:r w:rsidRPr="00F362DB">
        <w:rPr>
          <w:b/>
          <w:sz w:val="26"/>
          <w:szCs w:val="26"/>
        </w:rPr>
        <w:t>Чебоксарское</w:t>
      </w:r>
      <w:proofErr w:type="spellEnd"/>
      <w:r w:rsidRPr="00F362DB">
        <w:rPr>
          <w:b/>
          <w:sz w:val="26"/>
          <w:szCs w:val="26"/>
        </w:rPr>
        <w:t xml:space="preserve"> водохранилище: р</w:t>
      </w:r>
      <w:proofErr w:type="gramStart"/>
      <w:r w:rsidRPr="00F362DB">
        <w:rPr>
          <w:b/>
          <w:sz w:val="26"/>
          <w:szCs w:val="26"/>
        </w:rPr>
        <w:t>.О</w:t>
      </w:r>
      <w:proofErr w:type="gramEnd"/>
      <w:r w:rsidRPr="00F362DB">
        <w:rPr>
          <w:b/>
          <w:sz w:val="26"/>
          <w:szCs w:val="26"/>
        </w:rPr>
        <w:t>ка, р.Волга)("</w:t>
      </w:r>
      <w:proofErr w:type="spellStart"/>
      <w:r w:rsidRPr="00F362DB">
        <w:rPr>
          <w:b/>
          <w:sz w:val="26"/>
          <w:szCs w:val="26"/>
        </w:rPr>
        <w:t>СанПиН</w:t>
      </w:r>
      <w:proofErr w:type="spellEnd"/>
      <w:r w:rsidRPr="00F362DB">
        <w:rPr>
          <w:b/>
          <w:sz w:val="26"/>
          <w:szCs w:val="26"/>
        </w:rPr>
        <w:t xml:space="preserve"> 2.1.4.1110-02. 2.1.4.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Питьевая вода и водоснабжение населенных мест. Зоны санитарной охраны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источников водоснабжения и водопроводов питьевого назначения. </w:t>
      </w:r>
      <w:proofErr w:type="gramStart"/>
      <w:r w:rsidRPr="00F362DB">
        <w:rPr>
          <w:b/>
          <w:sz w:val="26"/>
          <w:szCs w:val="26"/>
        </w:rPr>
        <w:t>Санитарные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правила и нормы", утв. Главным госуда</w:t>
      </w:r>
      <w:r>
        <w:rPr>
          <w:b/>
          <w:sz w:val="26"/>
          <w:szCs w:val="26"/>
        </w:rPr>
        <w:t>рственным санитарным врачом РФ).</w:t>
      </w:r>
      <w:proofErr w:type="gramEnd"/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Земельный участок с кадастровым номером 52:18:0050294:70 расположен 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границах:</w:t>
      </w:r>
      <w:r>
        <w:rPr>
          <w:b/>
          <w:sz w:val="26"/>
          <w:szCs w:val="26"/>
        </w:rPr>
        <w:t xml:space="preserve"> </w:t>
      </w:r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1. Проект межевания территории в границах улиц Героя Советского Союза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Попова, </w:t>
      </w:r>
      <w:proofErr w:type="spellStart"/>
      <w:r w:rsidRPr="00F362DB">
        <w:rPr>
          <w:b/>
          <w:sz w:val="26"/>
          <w:szCs w:val="26"/>
        </w:rPr>
        <w:t>Карповская</w:t>
      </w:r>
      <w:proofErr w:type="spellEnd"/>
      <w:r w:rsidRPr="00F362DB">
        <w:rPr>
          <w:b/>
          <w:sz w:val="26"/>
          <w:szCs w:val="26"/>
        </w:rPr>
        <w:t xml:space="preserve">, Порядковая, </w:t>
      </w:r>
      <w:proofErr w:type="spellStart"/>
      <w:r w:rsidRPr="00F362DB">
        <w:rPr>
          <w:b/>
          <w:sz w:val="26"/>
          <w:szCs w:val="26"/>
        </w:rPr>
        <w:t>Грекова</w:t>
      </w:r>
      <w:proofErr w:type="spellEnd"/>
      <w:r w:rsidRPr="00F362DB">
        <w:rPr>
          <w:b/>
          <w:sz w:val="26"/>
          <w:szCs w:val="26"/>
        </w:rPr>
        <w:t xml:space="preserve"> в Ленинском районе города Нижнего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Новгорода, утвержденным постановлением администрации города Нижнего</w:t>
      </w:r>
      <w:r>
        <w:rPr>
          <w:b/>
          <w:sz w:val="26"/>
          <w:szCs w:val="26"/>
        </w:rPr>
        <w:t xml:space="preserve">  </w:t>
      </w:r>
      <w:r w:rsidRPr="00F362DB">
        <w:rPr>
          <w:b/>
          <w:sz w:val="26"/>
          <w:szCs w:val="26"/>
        </w:rPr>
        <w:t>Новгорода от 30.09.2010 № 5552.</w:t>
      </w:r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2. Проект планировки территории в границах улиц Героя Попова,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Новикова-Прибоя, </w:t>
      </w:r>
      <w:proofErr w:type="spellStart"/>
      <w:r w:rsidRPr="00F362DB">
        <w:rPr>
          <w:b/>
          <w:sz w:val="26"/>
          <w:szCs w:val="26"/>
        </w:rPr>
        <w:t>Грекова</w:t>
      </w:r>
      <w:proofErr w:type="spellEnd"/>
      <w:r w:rsidRPr="00F362DB">
        <w:rPr>
          <w:b/>
          <w:sz w:val="26"/>
          <w:szCs w:val="26"/>
        </w:rPr>
        <w:t xml:space="preserve"> и проект межевания территории в границах улиц Героя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Попова, Новикова-Прибоя в Ленинском районе города Нижнего Новгорода,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утвержденный Приказ министерства градостроительной деятельности и развития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агломераций Нижегородской области от 03.06.2020 № 07-02-03/56.</w:t>
      </w:r>
      <w:r>
        <w:rPr>
          <w:b/>
          <w:sz w:val="26"/>
          <w:szCs w:val="26"/>
        </w:rPr>
        <w:t xml:space="preserve"> </w:t>
      </w:r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</w:t>
      </w:r>
      <w:r w:rsidRPr="00F362DB">
        <w:rPr>
          <w:b/>
          <w:sz w:val="26"/>
          <w:szCs w:val="26"/>
        </w:rPr>
        <w:t>а территорию</w:t>
      </w:r>
      <w:r>
        <w:rPr>
          <w:b/>
          <w:sz w:val="26"/>
          <w:szCs w:val="26"/>
        </w:rPr>
        <w:t>, в границах</w:t>
      </w:r>
      <w:r w:rsidRPr="00F362DB">
        <w:rPr>
          <w:b/>
          <w:sz w:val="26"/>
          <w:szCs w:val="26"/>
        </w:rPr>
        <w:t xml:space="preserve"> которой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расположен земельный участок</w:t>
      </w:r>
      <w:r>
        <w:rPr>
          <w:b/>
          <w:sz w:val="26"/>
          <w:szCs w:val="26"/>
        </w:rPr>
        <w:t>,</w:t>
      </w:r>
      <w:r w:rsidRPr="00F362DB">
        <w:rPr>
          <w:b/>
          <w:sz w:val="26"/>
          <w:szCs w:val="26"/>
        </w:rPr>
        <w:t xml:space="preserve"> приказом департамента градостроительной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деятельности и развития агломераций Нижегородской области от 02.07.2015 № 07-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08/35 выдано задание на проектирование документации по планировке территории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(проект планировки территории, включая проект межевания территории) в границах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улиц Новикова-Прибоя, Героя Попова, Адмирала Нахимова в Ленинском районе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города Нижнего Новгорода.</w:t>
      </w:r>
      <w:proofErr w:type="gramEnd"/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Pr="008C2487">
        <w:rPr>
          <w:b/>
          <w:sz w:val="26"/>
          <w:szCs w:val="26"/>
        </w:rPr>
        <w:t>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6B21A6">
        <w:rPr>
          <w:b/>
          <w:sz w:val="26"/>
          <w:szCs w:val="26"/>
          <w:u w:val="single"/>
        </w:rPr>
        <w:t>По лотам №№ 3, 5</w:t>
      </w:r>
      <w:r w:rsidRPr="002C2D3D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FC2F2E" w:rsidRDefault="00FC2F2E" w:rsidP="00FC2F2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C2F2E" w:rsidRPr="005F0A86" w:rsidRDefault="00FC2F2E" w:rsidP="00FC2F2E">
      <w:pPr>
        <w:jc w:val="both"/>
        <w:rPr>
          <w:sz w:val="26"/>
          <w:szCs w:val="26"/>
        </w:rPr>
      </w:pPr>
      <w:r w:rsidRPr="00AD47BB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1</w:t>
      </w:r>
      <w:r w:rsidRPr="00AD47BB">
        <w:rPr>
          <w:color w:val="000000"/>
          <w:sz w:val="26"/>
          <w:szCs w:val="26"/>
          <w:lang w:bidi="ru-RU"/>
        </w:rPr>
        <w:t xml:space="preserve"> </w:t>
      </w:r>
      <w:r w:rsidRPr="005F0A86">
        <w:rPr>
          <w:sz w:val="26"/>
          <w:szCs w:val="26"/>
        </w:rPr>
        <w:t>решение об условиях приватизации принято решением городской Думы города Нижнего Новгорода от 28.07.2021 № 157 и постановлением администрации города Нижнего Новгорода от 19.01.2022 № 134.</w:t>
      </w:r>
    </w:p>
    <w:p w:rsidR="00FC2F2E" w:rsidRDefault="00FC2F2E" w:rsidP="00FC2F2E">
      <w:pPr>
        <w:jc w:val="both"/>
        <w:rPr>
          <w:sz w:val="26"/>
          <w:szCs w:val="26"/>
        </w:rPr>
      </w:pPr>
      <w:r w:rsidRPr="005F0A86">
        <w:rPr>
          <w:sz w:val="26"/>
          <w:szCs w:val="26"/>
        </w:rPr>
        <w:t>Аукцион</w:t>
      </w:r>
      <w:r>
        <w:rPr>
          <w:sz w:val="26"/>
          <w:szCs w:val="26"/>
        </w:rPr>
        <w:t>ы</w:t>
      </w:r>
      <w:r w:rsidRPr="005F0A86">
        <w:rPr>
          <w:sz w:val="26"/>
          <w:szCs w:val="26"/>
        </w:rPr>
        <w:t xml:space="preserve"> от 22.11.2022 № 5253773</w:t>
      </w:r>
      <w:r>
        <w:rPr>
          <w:sz w:val="26"/>
          <w:szCs w:val="26"/>
        </w:rPr>
        <w:t>, от 19.01.2023 № 5261281, от 06.03.2023 № 5266059</w:t>
      </w:r>
      <w:r w:rsidRPr="005F0A86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FC2F2E" w:rsidRDefault="00FC2F2E" w:rsidP="00FC2F2E">
      <w:pPr>
        <w:jc w:val="both"/>
        <w:rPr>
          <w:sz w:val="26"/>
          <w:szCs w:val="26"/>
        </w:rPr>
      </w:pPr>
    </w:p>
    <w:p w:rsidR="00FC2F2E" w:rsidRDefault="00FC2F2E" w:rsidP="00FC2F2E">
      <w:pPr>
        <w:jc w:val="both"/>
        <w:rPr>
          <w:sz w:val="26"/>
          <w:szCs w:val="26"/>
        </w:rPr>
      </w:pPr>
      <w:r w:rsidRPr="00AD47BB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2</w:t>
      </w:r>
      <w:r w:rsidRPr="00AD47BB">
        <w:rPr>
          <w:color w:val="000000"/>
          <w:sz w:val="26"/>
          <w:szCs w:val="26"/>
          <w:lang w:bidi="ru-RU"/>
        </w:rPr>
        <w:t xml:space="preserve"> </w:t>
      </w:r>
      <w:r w:rsidRPr="005F0A86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23.11.2022 № 236</w:t>
      </w:r>
      <w:r w:rsidRPr="005F0A86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13.01.2023 № 121</w:t>
      </w:r>
      <w:r w:rsidRPr="005F0A86">
        <w:rPr>
          <w:sz w:val="26"/>
          <w:szCs w:val="26"/>
        </w:rPr>
        <w:t>.</w:t>
      </w:r>
    </w:p>
    <w:p w:rsidR="00FC2F2E" w:rsidRDefault="00FC2F2E" w:rsidP="00FC2F2E">
      <w:pPr>
        <w:jc w:val="both"/>
        <w:rPr>
          <w:sz w:val="26"/>
          <w:szCs w:val="26"/>
        </w:rPr>
      </w:pPr>
      <w:r w:rsidRPr="005F0A86">
        <w:rPr>
          <w:sz w:val="26"/>
          <w:szCs w:val="26"/>
        </w:rPr>
        <w:lastRenderedPageBreak/>
        <w:t xml:space="preserve">Аукцион </w:t>
      </w:r>
      <w:r>
        <w:rPr>
          <w:sz w:val="26"/>
          <w:szCs w:val="26"/>
        </w:rPr>
        <w:t>от 06.03.2023 № 5266059</w:t>
      </w:r>
      <w:r w:rsidRPr="005F0A86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FC2F2E" w:rsidRDefault="00FC2F2E" w:rsidP="00FC2F2E">
      <w:pPr>
        <w:jc w:val="both"/>
        <w:rPr>
          <w:sz w:val="26"/>
          <w:szCs w:val="26"/>
        </w:rPr>
      </w:pPr>
    </w:p>
    <w:p w:rsidR="00FC2F2E" w:rsidRDefault="00FC2F2E" w:rsidP="00FC2F2E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>По лоту № 3</w:t>
      </w:r>
      <w:r w:rsidRPr="009647FA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24.03.2021 № 49 и постановлением</w:t>
      </w:r>
      <w:r w:rsidRPr="009647FA">
        <w:rPr>
          <w:color w:val="000000"/>
          <w:sz w:val="26"/>
          <w:szCs w:val="26"/>
          <w:lang w:bidi="ru-RU"/>
        </w:rPr>
        <w:t xml:space="preserve"> администрации города Нижнего</w:t>
      </w:r>
      <w:r>
        <w:rPr>
          <w:color w:val="000000"/>
          <w:sz w:val="26"/>
          <w:szCs w:val="26"/>
          <w:lang w:bidi="ru-RU"/>
        </w:rPr>
        <w:t xml:space="preserve"> Новгорода от 14.05.2021 № 1913.</w:t>
      </w:r>
    </w:p>
    <w:p w:rsidR="00FC2F2E" w:rsidRDefault="00FC2F2E" w:rsidP="00FC2F2E">
      <w:pPr>
        <w:jc w:val="both"/>
        <w:rPr>
          <w:sz w:val="26"/>
          <w:szCs w:val="26"/>
        </w:rPr>
      </w:pPr>
      <w:r>
        <w:rPr>
          <w:sz w:val="26"/>
          <w:szCs w:val="26"/>
        </w:rPr>
        <w:t>Продажи</w:t>
      </w:r>
      <w:r w:rsidRPr="0058055D">
        <w:rPr>
          <w:sz w:val="26"/>
          <w:szCs w:val="26"/>
        </w:rPr>
        <w:t xml:space="preserve"> посредством публичного предложения </w:t>
      </w: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06.06.2022 № 5232544, от 21.07.2022 № 5237773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FC2F2E" w:rsidRDefault="00FC2F2E" w:rsidP="00FC2F2E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Аукционы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от 07.04.2022 № 5225585, от </w:t>
      </w:r>
      <w:r>
        <w:rPr>
          <w:sz w:val="26"/>
          <w:szCs w:val="26"/>
        </w:rPr>
        <w:t>06.03.2023 № 5266059</w:t>
      </w:r>
      <w:r>
        <w:rPr>
          <w:color w:val="000000"/>
          <w:sz w:val="26"/>
          <w:szCs w:val="26"/>
          <w:lang w:bidi="ru-RU"/>
        </w:rPr>
        <w:t xml:space="preserve">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FC2F2E" w:rsidRDefault="00FC2F2E" w:rsidP="00FC2F2E">
      <w:pPr>
        <w:pStyle w:val="a3"/>
        <w:rPr>
          <w:sz w:val="26"/>
          <w:szCs w:val="26"/>
          <w:u w:val="single"/>
        </w:rPr>
      </w:pPr>
    </w:p>
    <w:p w:rsidR="00FC2F2E" w:rsidRPr="000C0A43" w:rsidRDefault="00FC2F2E" w:rsidP="00FC2F2E">
      <w:pPr>
        <w:pStyle w:val="a3"/>
        <w:rPr>
          <w:color w:val="000000"/>
          <w:sz w:val="26"/>
          <w:szCs w:val="26"/>
        </w:rPr>
      </w:pPr>
      <w:r w:rsidRPr="00CA0BA7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4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</w:t>
      </w:r>
      <w:r w:rsidRPr="000C0A43">
        <w:rPr>
          <w:color w:val="000000"/>
          <w:sz w:val="26"/>
          <w:szCs w:val="26"/>
        </w:rPr>
        <w:t>об условиях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</w:rPr>
        <w:t xml:space="preserve"> 27.01.2021 № 2 и постановлением</w:t>
      </w:r>
      <w:r w:rsidRPr="000C0A43">
        <w:rPr>
          <w:color w:val="000000"/>
          <w:sz w:val="26"/>
          <w:szCs w:val="26"/>
        </w:rPr>
        <w:t xml:space="preserve"> администрации города Нижнего Новгорода от 19.02.2</w:t>
      </w:r>
      <w:r>
        <w:rPr>
          <w:color w:val="000000"/>
          <w:sz w:val="26"/>
          <w:szCs w:val="26"/>
        </w:rPr>
        <w:t>021 № 625.</w:t>
      </w:r>
    </w:p>
    <w:p w:rsidR="00FC2F2E" w:rsidRDefault="00FC2F2E" w:rsidP="00FC2F2E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Продажа</w:t>
      </w:r>
      <w:r w:rsidRPr="000C0A43">
        <w:rPr>
          <w:color w:val="000000"/>
          <w:sz w:val="26"/>
          <w:szCs w:val="26"/>
        </w:rPr>
        <w:t xml:space="preserve"> посредством публичного предложения от </w:t>
      </w:r>
      <w:r>
        <w:rPr>
          <w:color w:val="000000"/>
          <w:sz w:val="26"/>
          <w:szCs w:val="26"/>
        </w:rPr>
        <w:t xml:space="preserve">28.07.2022 № 5238873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FC2F2E" w:rsidRDefault="00FC2F2E" w:rsidP="00FC2F2E">
      <w:pPr>
        <w:jc w:val="both"/>
        <w:rPr>
          <w:sz w:val="26"/>
          <w:szCs w:val="26"/>
        </w:rPr>
      </w:pPr>
      <w:r w:rsidRPr="000C0A43">
        <w:rPr>
          <w:color w:val="000000"/>
          <w:sz w:val="26"/>
          <w:szCs w:val="26"/>
        </w:rPr>
        <w:t>Аукционы от 07.04.2022 № 5225585</w:t>
      </w:r>
      <w:r>
        <w:rPr>
          <w:color w:val="000000"/>
          <w:sz w:val="26"/>
          <w:szCs w:val="26"/>
        </w:rPr>
        <w:t xml:space="preserve">, от 27.05.2022 № 5230636, от </w:t>
      </w:r>
      <w:r>
        <w:rPr>
          <w:sz w:val="26"/>
          <w:szCs w:val="26"/>
        </w:rPr>
        <w:t>06.03.2023 № 5266059</w:t>
      </w:r>
      <w:r w:rsidRPr="000C0A4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FC2F2E" w:rsidRDefault="00FC2F2E" w:rsidP="00FC2F2E">
      <w:pPr>
        <w:tabs>
          <w:tab w:val="num" w:pos="0"/>
        </w:tabs>
        <w:jc w:val="both"/>
        <w:rPr>
          <w:color w:val="000000"/>
          <w:sz w:val="26"/>
          <w:szCs w:val="26"/>
          <w:u w:val="single"/>
        </w:rPr>
      </w:pPr>
    </w:p>
    <w:p w:rsidR="00FC2F2E" w:rsidRDefault="00FC2F2E" w:rsidP="00FC2F2E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 w:rsidRPr="00B04BF2">
        <w:rPr>
          <w:color w:val="000000"/>
          <w:sz w:val="26"/>
          <w:szCs w:val="26"/>
          <w:u w:val="single"/>
        </w:rPr>
        <w:t xml:space="preserve">По лоту № </w:t>
      </w:r>
      <w:r>
        <w:rPr>
          <w:color w:val="000000"/>
          <w:sz w:val="26"/>
          <w:szCs w:val="26"/>
          <w:u w:val="single"/>
        </w:rPr>
        <w:t>5</w:t>
      </w:r>
      <w:r w:rsidRPr="00AD0482">
        <w:rPr>
          <w:color w:val="000000"/>
          <w:sz w:val="26"/>
          <w:szCs w:val="26"/>
        </w:rPr>
        <w:t xml:space="preserve"> </w:t>
      </w:r>
      <w:r w:rsidRPr="00AD0482">
        <w:rPr>
          <w:color w:val="000000"/>
          <w:sz w:val="26"/>
          <w:szCs w:val="26"/>
          <w:lang w:bidi="ru-RU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 и постановлением</w:t>
      </w:r>
      <w:r w:rsidRPr="00AD0482">
        <w:rPr>
          <w:color w:val="000000"/>
          <w:sz w:val="26"/>
          <w:szCs w:val="26"/>
          <w:lang w:bidi="ru-RU"/>
        </w:rPr>
        <w:t xml:space="preserve"> администрации города Нижнего</w:t>
      </w:r>
      <w:r>
        <w:rPr>
          <w:color w:val="000000"/>
          <w:sz w:val="26"/>
          <w:szCs w:val="26"/>
          <w:lang w:bidi="ru-RU"/>
        </w:rPr>
        <w:t xml:space="preserve"> Новгорода от 09.03.2021 № 902.</w:t>
      </w:r>
    </w:p>
    <w:p w:rsidR="006B1500" w:rsidRPr="00FC2F2E" w:rsidRDefault="00FC2F2E" w:rsidP="00FC2F2E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Продажа</w:t>
      </w:r>
      <w:r w:rsidRPr="000C0A43">
        <w:rPr>
          <w:color w:val="000000"/>
          <w:sz w:val="26"/>
          <w:szCs w:val="26"/>
        </w:rPr>
        <w:t xml:space="preserve"> посредством публичного предложения от </w:t>
      </w:r>
      <w:r>
        <w:rPr>
          <w:color w:val="000000"/>
          <w:sz w:val="26"/>
          <w:szCs w:val="26"/>
        </w:rPr>
        <w:t xml:space="preserve">03.08.2022 № 5239463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6B1500" w:rsidRDefault="00FC2F2E" w:rsidP="00FC2F2E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  <w:r>
        <w:rPr>
          <w:color w:val="000000"/>
          <w:sz w:val="26"/>
          <w:szCs w:val="26"/>
          <w:lang w:bidi="ru-RU"/>
        </w:rPr>
        <w:t>Аукционы</w:t>
      </w:r>
      <w:r w:rsidRPr="001209B7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от 04.04.2022 № 5224662, от 25.05.2022 № 5229920, от </w:t>
      </w:r>
      <w:r>
        <w:rPr>
          <w:sz w:val="26"/>
          <w:szCs w:val="26"/>
        </w:rPr>
        <w:t>06.03.2023 № 5266059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FC2F2E" w:rsidRDefault="00FC2F2E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C2F2E" w:rsidRDefault="00FC2F2E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8E454F">
        <w:rPr>
          <w:rFonts w:eastAsia="Calibri"/>
          <w:sz w:val="26"/>
          <w:szCs w:val="26"/>
        </w:rPr>
        <w:t xml:space="preserve"> </w:t>
      </w:r>
      <w:r w:rsidR="00FC2F2E">
        <w:rPr>
          <w:rFonts w:eastAsia="Calibri"/>
          <w:sz w:val="26"/>
          <w:szCs w:val="26"/>
        </w:rPr>
        <w:t>17.03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8E454F">
        <w:rPr>
          <w:rFonts w:eastAsia="Calibri"/>
          <w:sz w:val="26"/>
          <w:szCs w:val="26"/>
        </w:rPr>
        <w:t xml:space="preserve"> </w:t>
      </w:r>
      <w:r w:rsidR="00FC2F2E">
        <w:rPr>
          <w:rFonts w:eastAsia="Calibri"/>
          <w:sz w:val="26"/>
          <w:szCs w:val="26"/>
        </w:rPr>
        <w:t>13.04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8E454F">
        <w:rPr>
          <w:sz w:val="26"/>
          <w:szCs w:val="26"/>
        </w:rPr>
        <w:t xml:space="preserve"> </w:t>
      </w:r>
      <w:r w:rsidR="00FC2F2E">
        <w:rPr>
          <w:sz w:val="26"/>
          <w:szCs w:val="26"/>
        </w:rPr>
        <w:t>13.04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8E454F">
        <w:rPr>
          <w:rFonts w:eastAsia="Calibri"/>
          <w:sz w:val="26"/>
          <w:szCs w:val="26"/>
        </w:rPr>
        <w:t xml:space="preserve"> </w:t>
      </w:r>
      <w:r w:rsidR="00FC2F2E">
        <w:rPr>
          <w:rFonts w:eastAsia="Calibri"/>
          <w:sz w:val="26"/>
          <w:szCs w:val="26"/>
        </w:rPr>
        <w:t>19.04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8E454F">
        <w:rPr>
          <w:b/>
          <w:sz w:val="26"/>
          <w:szCs w:val="26"/>
          <w:u w:val="single"/>
        </w:rPr>
        <w:t xml:space="preserve"> </w:t>
      </w:r>
      <w:r w:rsidR="00FC2F2E">
        <w:rPr>
          <w:b/>
          <w:sz w:val="26"/>
          <w:szCs w:val="26"/>
          <w:u w:val="single"/>
        </w:rPr>
        <w:t>20.04</w:t>
      </w:r>
      <w:r w:rsidR="00ED158C">
        <w:rPr>
          <w:b/>
          <w:sz w:val="26"/>
          <w:szCs w:val="26"/>
          <w:u w:val="single"/>
        </w:rPr>
        <w:t>.</w:t>
      </w:r>
      <w:r w:rsidR="008C719D" w:rsidRPr="00D62CCC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CE40F6" w:rsidRPr="00D62CCC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lastRenderedPageBreak/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FC2F2E" w:rsidRDefault="00FC2F2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lastRenderedPageBreak/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день определения участников аукциона, указанный в информационном сообщении, Организатор через «личный кабинет» Продавца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не поступило ни одного предложения о начальной цене имущества, то аукцион с помощью программно-аппаратных средств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235023" w:rsidRPr="00235023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235023">
        <w:rPr>
          <w:spacing w:val="-3"/>
          <w:sz w:val="26"/>
          <w:szCs w:val="26"/>
        </w:rPr>
      </w:r>
      <w:r w:rsidR="00235023">
        <w:rPr>
          <w:spacing w:val="-3"/>
          <w:sz w:val="26"/>
          <w:szCs w:val="26"/>
        </w:rPr>
        <w:fldChar w:fldCharType="separate"/>
      </w:r>
      <w:r w:rsidR="00235023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062F6">
      <w:headerReference w:type="default" r:id="rId12"/>
      <w:pgSz w:w="16840" w:h="11907" w:orient="landscape" w:code="9"/>
      <w:pgMar w:top="567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1E" w:rsidRDefault="002B741E" w:rsidP="00D42863">
      <w:r>
        <w:separator/>
      </w:r>
    </w:p>
  </w:endnote>
  <w:endnote w:type="continuationSeparator" w:id="0">
    <w:p w:rsidR="002B741E" w:rsidRDefault="002B741E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1E" w:rsidRDefault="002B741E" w:rsidP="00D42863">
      <w:r>
        <w:separator/>
      </w:r>
    </w:p>
  </w:footnote>
  <w:footnote w:type="continuationSeparator" w:id="0">
    <w:p w:rsidR="002B741E" w:rsidRDefault="002B741E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41E" w:rsidRDefault="00235023">
    <w:pPr>
      <w:pStyle w:val="ab"/>
      <w:jc w:val="center"/>
    </w:pPr>
    <w:fldSimple w:instr=" PAGE   \* MERGEFORMAT ">
      <w:r w:rsidR="00C71C13">
        <w:rPr>
          <w:noProof/>
        </w:rPr>
        <w:t>6</w:t>
      </w:r>
    </w:fldSimple>
  </w:p>
  <w:p w:rsidR="002B741E" w:rsidRDefault="002B741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46497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023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1C13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4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0123E-F856-4444-B25C-2F9D38D2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6488</Words>
  <Characters>47796</Characters>
  <Application>Microsoft Office Word</Application>
  <DocSecurity>0</DocSecurity>
  <Lines>398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54176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4</cp:revision>
  <cp:lastPrinted>2023-03-02T09:26:00Z</cp:lastPrinted>
  <dcterms:created xsi:type="dcterms:W3CDTF">2023-03-15T11:19:00Z</dcterms:created>
  <dcterms:modified xsi:type="dcterms:W3CDTF">2023-03-16T07:53:00Z</dcterms:modified>
</cp:coreProperties>
</file>