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5D252E">
        <w:rPr>
          <w:b/>
          <w:color w:val="000000"/>
          <w:sz w:val="26"/>
          <w:szCs w:val="26"/>
        </w:rPr>
        <w:t>21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DB1B55">
        <w:rPr>
          <w:b/>
          <w:sz w:val="30"/>
          <w:szCs w:val="30"/>
          <w:u w:val="single"/>
        </w:rPr>
        <w:t>11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DB1B55">
        <w:rPr>
          <w:b/>
          <w:sz w:val="30"/>
          <w:szCs w:val="30"/>
          <w:u w:val="single"/>
        </w:rPr>
        <w:t>мая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1710"/>
        <w:gridCol w:w="2810"/>
        <w:gridCol w:w="998"/>
        <w:gridCol w:w="1157"/>
        <w:gridCol w:w="1071"/>
        <w:gridCol w:w="2409"/>
        <w:gridCol w:w="1701"/>
        <w:gridCol w:w="1701"/>
        <w:gridCol w:w="1572"/>
      </w:tblGrid>
      <w:tr w:rsidR="00FA63C0" w:rsidRPr="007D5E79" w:rsidTr="00D71630">
        <w:trPr>
          <w:trHeight w:hRule="exact" w:val="200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rStyle w:val="Bodytext2"/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Лота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Наименование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proofErr w:type="spellStart"/>
            <w:r w:rsidRPr="007D5E79">
              <w:rPr>
                <w:rStyle w:val="Bodytext2"/>
                <w:sz w:val="22"/>
                <w:szCs w:val="22"/>
              </w:rPr>
              <w:t>Кадас</w:t>
            </w:r>
            <w:proofErr w:type="gramStart"/>
            <w:r w:rsidRPr="007D5E79">
              <w:rPr>
                <w:rStyle w:val="Bodytext2"/>
                <w:sz w:val="22"/>
                <w:szCs w:val="22"/>
              </w:rPr>
              <w:t>т</w:t>
            </w:r>
            <w:proofErr w:type="spellEnd"/>
            <w:r w:rsidRPr="007D5E79">
              <w:rPr>
                <w:rStyle w:val="Bodytext2"/>
                <w:sz w:val="22"/>
                <w:szCs w:val="22"/>
              </w:rPr>
              <w:t>-</w:t>
            </w:r>
            <w:proofErr w:type="gramEnd"/>
            <w:r w:rsidRPr="007D5E79">
              <w:rPr>
                <w:rStyle w:val="Bodytext2"/>
                <w:sz w:val="22"/>
                <w:szCs w:val="22"/>
              </w:rPr>
              <w:t xml:space="preserve">   </w:t>
            </w:r>
            <w:proofErr w:type="spellStart"/>
            <w:r w:rsidRPr="007D5E79">
              <w:rPr>
                <w:rStyle w:val="Bodytext2"/>
                <w:sz w:val="22"/>
                <w:szCs w:val="22"/>
              </w:rPr>
              <w:t>ровый</w:t>
            </w:r>
            <w:proofErr w:type="spellEnd"/>
            <w:r w:rsidRPr="007D5E79">
              <w:rPr>
                <w:rStyle w:val="Bodytext2"/>
                <w:sz w:val="22"/>
                <w:szCs w:val="22"/>
              </w:rPr>
              <w:t xml:space="preserve"> номер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Общая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площадь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объекта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7D5E79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7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 xml:space="preserve">Год ввода дома в </w:t>
            </w:r>
            <w:proofErr w:type="spellStart"/>
            <w:proofErr w:type="gramStart"/>
            <w:r w:rsidRPr="007D5E79">
              <w:rPr>
                <w:rStyle w:val="Bodytext2"/>
                <w:sz w:val="22"/>
                <w:szCs w:val="22"/>
              </w:rPr>
              <w:t>эксплуа-тацию</w:t>
            </w:r>
            <w:proofErr w:type="spellEnd"/>
            <w:proofErr w:type="gramEnd"/>
          </w:p>
        </w:tc>
        <w:tc>
          <w:tcPr>
            <w:tcW w:w="2409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Начальная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цена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объекта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11pt"/>
              </w:rPr>
              <w:t>(руб.)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Задаток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11pt"/>
              </w:rPr>
              <w:t>(руб.)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(10% от начальной цены объекта)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Шаг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"/>
                <w:sz w:val="22"/>
                <w:szCs w:val="22"/>
              </w:rPr>
              <w:t>аукциона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rStyle w:val="Bodytext211pt"/>
              </w:rPr>
              <w:t>(руб.)</w:t>
            </w:r>
          </w:p>
        </w:tc>
      </w:tr>
      <w:tr w:rsidR="00FA63C0" w:rsidRPr="007D5E79" w:rsidTr="00D71630">
        <w:trPr>
          <w:trHeight w:hRule="exact" w:val="1932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7D5E79">
              <w:rPr>
                <w:rStyle w:val="Bodytext2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(этаж №1)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г</w:t>
            </w:r>
            <w:proofErr w:type="gramStart"/>
            <w:r w:rsidRPr="007D5E79">
              <w:rPr>
                <w:sz w:val="22"/>
                <w:szCs w:val="22"/>
              </w:rPr>
              <w:t>.Н</w:t>
            </w:r>
            <w:proofErr w:type="gramEnd"/>
            <w:r w:rsidRPr="007D5E79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7D5E79">
              <w:rPr>
                <w:sz w:val="22"/>
                <w:szCs w:val="22"/>
              </w:rPr>
              <w:t>Канавинский</w:t>
            </w:r>
            <w:proofErr w:type="spellEnd"/>
            <w:r w:rsidRPr="007D5E79">
              <w:rPr>
                <w:sz w:val="22"/>
                <w:szCs w:val="22"/>
              </w:rPr>
              <w:t xml:space="preserve"> район, ул.Коммунистическая, д.25, кв.1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52:18:0030065:102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143,1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расположено на первом этаже трехэтажного жилого дома. Имеется один отдельный вход с торца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4 981 740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498 174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249 087</w:t>
            </w:r>
          </w:p>
        </w:tc>
      </w:tr>
      <w:tr w:rsidR="00FA63C0" w:rsidRPr="007D5E79" w:rsidTr="00D71630">
        <w:trPr>
          <w:trHeight w:hRule="exact" w:val="211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(этаж №1)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г</w:t>
            </w:r>
            <w:proofErr w:type="gramStart"/>
            <w:r w:rsidRPr="007D5E79">
              <w:rPr>
                <w:sz w:val="22"/>
                <w:szCs w:val="22"/>
              </w:rPr>
              <w:t>.Н</w:t>
            </w:r>
            <w:proofErr w:type="gramEnd"/>
            <w:r w:rsidRPr="007D5E79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7D5E79">
              <w:rPr>
                <w:sz w:val="22"/>
                <w:szCs w:val="22"/>
              </w:rPr>
              <w:t>Канавинский</w:t>
            </w:r>
            <w:proofErr w:type="spellEnd"/>
            <w:r w:rsidRPr="007D5E79">
              <w:rPr>
                <w:sz w:val="22"/>
                <w:szCs w:val="22"/>
              </w:rPr>
              <w:t xml:space="preserve"> район, ул.Коммунистическая, д.25, кв.2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52:18:0030065:103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84,7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расположено на первом этаже трехэтажного жилого дома. Имеется один отдельный вход с торца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3 389 779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338 977,9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169 488,95</w:t>
            </w:r>
          </w:p>
        </w:tc>
      </w:tr>
      <w:tr w:rsidR="00FA63C0" w:rsidRPr="007D5E79" w:rsidTr="00D71630">
        <w:trPr>
          <w:trHeight w:hRule="exact" w:val="1835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(этаж №1)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г</w:t>
            </w:r>
            <w:proofErr w:type="gramStart"/>
            <w:r w:rsidRPr="007D5E79">
              <w:rPr>
                <w:sz w:val="22"/>
                <w:szCs w:val="22"/>
              </w:rPr>
              <w:t>.Н</w:t>
            </w:r>
            <w:proofErr w:type="gramEnd"/>
            <w:r w:rsidRPr="007D5E79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7D5E79">
              <w:rPr>
                <w:sz w:val="22"/>
                <w:szCs w:val="22"/>
              </w:rPr>
              <w:t>Канавинский</w:t>
            </w:r>
            <w:proofErr w:type="spellEnd"/>
            <w:r w:rsidRPr="007D5E79">
              <w:rPr>
                <w:sz w:val="22"/>
                <w:szCs w:val="22"/>
              </w:rPr>
              <w:t xml:space="preserve"> район, ул.Коммунистическая, д.25, кв.3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52:18:0030065:104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108,2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расположено на первом этаже трехэтажного жилого дома. Имеется один отдельный вход.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4 330 272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433 027,2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216 513,6</w:t>
            </w:r>
          </w:p>
        </w:tc>
      </w:tr>
      <w:tr w:rsidR="00FA63C0" w:rsidRPr="007D5E79" w:rsidTr="00D71630">
        <w:trPr>
          <w:trHeight w:hRule="exact" w:val="211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(этаж №2)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г</w:t>
            </w:r>
            <w:proofErr w:type="gramStart"/>
            <w:r w:rsidRPr="007D5E79">
              <w:rPr>
                <w:sz w:val="22"/>
                <w:szCs w:val="22"/>
              </w:rPr>
              <w:t>.Н</w:t>
            </w:r>
            <w:proofErr w:type="gramEnd"/>
            <w:r w:rsidRPr="007D5E79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7D5E79">
              <w:rPr>
                <w:sz w:val="22"/>
                <w:szCs w:val="22"/>
              </w:rPr>
              <w:t>Канавинский</w:t>
            </w:r>
            <w:proofErr w:type="spellEnd"/>
            <w:r w:rsidRPr="007D5E79">
              <w:rPr>
                <w:sz w:val="22"/>
                <w:szCs w:val="22"/>
              </w:rPr>
              <w:t xml:space="preserve"> район, ул.Коммунистическая, д.25, кв.4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52:18:0030065:111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89,7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расположено на втором этаже трехэтажного жилого дома.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3 182 018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318 201,8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159 100,9</w:t>
            </w:r>
          </w:p>
        </w:tc>
      </w:tr>
      <w:tr w:rsidR="00FA63C0" w:rsidRPr="007D5E79" w:rsidTr="00D71630">
        <w:trPr>
          <w:trHeight w:hRule="exact" w:val="2104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(этаж №2)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г</w:t>
            </w:r>
            <w:proofErr w:type="gramStart"/>
            <w:r w:rsidRPr="007D5E79">
              <w:rPr>
                <w:sz w:val="22"/>
                <w:szCs w:val="22"/>
              </w:rPr>
              <w:t>.Н</w:t>
            </w:r>
            <w:proofErr w:type="gramEnd"/>
            <w:r w:rsidRPr="007D5E79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7D5E79">
              <w:rPr>
                <w:sz w:val="22"/>
                <w:szCs w:val="22"/>
              </w:rPr>
              <w:t>Канавинский</w:t>
            </w:r>
            <w:proofErr w:type="spellEnd"/>
            <w:r w:rsidRPr="007D5E79">
              <w:rPr>
                <w:sz w:val="22"/>
                <w:szCs w:val="22"/>
              </w:rPr>
              <w:t xml:space="preserve"> район, ул.Коммунистическая, д.25, кв.4а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52:18:0030065:112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39,6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 xml:space="preserve">Нежилое помещение расположено на втором этаже трехэтажного жилого дома. 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1 404 770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140 477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70 238,5</w:t>
            </w:r>
          </w:p>
        </w:tc>
      </w:tr>
      <w:tr w:rsidR="00FA63C0" w:rsidRPr="007D5E79" w:rsidTr="00D71630">
        <w:trPr>
          <w:trHeight w:hRule="exact" w:val="2119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(этаж №2)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г</w:t>
            </w:r>
            <w:proofErr w:type="gramStart"/>
            <w:r w:rsidRPr="007D5E79">
              <w:rPr>
                <w:sz w:val="22"/>
                <w:szCs w:val="22"/>
              </w:rPr>
              <w:t>.Н</w:t>
            </w:r>
            <w:proofErr w:type="gramEnd"/>
            <w:r w:rsidRPr="007D5E79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7D5E79">
              <w:rPr>
                <w:sz w:val="22"/>
                <w:szCs w:val="22"/>
              </w:rPr>
              <w:t>Канавинский</w:t>
            </w:r>
            <w:proofErr w:type="spellEnd"/>
            <w:r w:rsidRPr="007D5E79">
              <w:rPr>
                <w:sz w:val="22"/>
                <w:szCs w:val="22"/>
              </w:rPr>
              <w:t xml:space="preserve"> район, ул.Коммунистическая, д.25, кв.5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52:18:0030065:113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157,3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расположено на втором этаже трехэтажного жилого дома.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4 853 963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485 396,3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242 698,15</w:t>
            </w:r>
          </w:p>
        </w:tc>
      </w:tr>
      <w:tr w:rsidR="00FA63C0" w:rsidRPr="007D5E79" w:rsidTr="00D71630">
        <w:trPr>
          <w:trHeight w:hRule="exact" w:val="2262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(этаж №3)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г</w:t>
            </w:r>
            <w:proofErr w:type="gramStart"/>
            <w:r w:rsidRPr="007D5E79">
              <w:rPr>
                <w:sz w:val="22"/>
                <w:szCs w:val="22"/>
              </w:rPr>
              <w:t>.Н</w:t>
            </w:r>
            <w:proofErr w:type="gramEnd"/>
            <w:r w:rsidRPr="007D5E79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7D5E79">
              <w:rPr>
                <w:sz w:val="22"/>
                <w:szCs w:val="22"/>
              </w:rPr>
              <w:t>Канавинский</w:t>
            </w:r>
            <w:proofErr w:type="spellEnd"/>
            <w:r w:rsidRPr="007D5E79">
              <w:rPr>
                <w:sz w:val="22"/>
                <w:szCs w:val="22"/>
              </w:rPr>
              <w:t xml:space="preserve"> район, ул.Коммунистическая, д.25, кв.6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52:18:0030065:123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39,3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расположено на третьем этаже трехэтажного жилого дома.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1 394 128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139 412,8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69 706,4</w:t>
            </w:r>
          </w:p>
        </w:tc>
      </w:tr>
      <w:tr w:rsidR="00FA63C0" w:rsidRPr="007D5E79" w:rsidTr="00D71630">
        <w:trPr>
          <w:trHeight w:hRule="exact" w:val="226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8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(этаж №3)</w:t>
            </w:r>
          </w:p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г</w:t>
            </w:r>
            <w:proofErr w:type="gramStart"/>
            <w:r w:rsidRPr="007D5E79">
              <w:rPr>
                <w:sz w:val="22"/>
                <w:szCs w:val="22"/>
              </w:rPr>
              <w:t>.Н</w:t>
            </w:r>
            <w:proofErr w:type="gramEnd"/>
            <w:r w:rsidRPr="007D5E79">
              <w:rPr>
                <w:sz w:val="22"/>
                <w:szCs w:val="22"/>
              </w:rPr>
              <w:t xml:space="preserve">ижний Новгород, </w:t>
            </w:r>
            <w:proofErr w:type="spellStart"/>
            <w:r w:rsidRPr="007D5E79">
              <w:rPr>
                <w:sz w:val="22"/>
                <w:szCs w:val="22"/>
              </w:rPr>
              <w:t>Канавинский</w:t>
            </w:r>
            <w:proofErr w:type="spellEnd"/>
            <w:r w:rsidRPr="007D5E79">
              <w:rPr>
                <w:sz w:val="22"/>
                <w:szCs w:val="22"/>
              </w:rPr>
              <w:t xml:space="preserve"> район, ул.Коммунистическая, д.25, кв.7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52:18:0030065:124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91,6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Нежилое помещение расположено на третьем этаже трехэтажного жилого дома.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3 249 418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324 941,8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FA63C0" w:rsidRPr="007D5E79" w:rsidRDefault="00FA63C0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162 470,9</w:t>
            </w:r>
          </w:p>
        </w:tc>
      </w:tr>
      <w:tr w:rsidR="007D5E79" w:rsidRPr="007D5E79" w:rsidTr="00D71630">
        <w:trPr>
          <w:trHeight w:hRule="exact" w:val="226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7D5E79" w:rsidRPr="007D5E79" w:rsidRDefault="007D5E79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9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D5E79" w:rsidRPr="007D5E79" w:rsidRDefault="007D5E79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37/50 долей в праве общей долевой собственности на нежилое помещение (подвал №1)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7D5E79" w:rsidRPr="007D5E79" w:rsidRDefault="007D5E79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г</w:t>
            </w:r>
            <w:proofErr w:type="gramStart"/>
            <w:r w:rsidRPr="007D5E79">
              <w:rPr>
                <w:sz w:val="22"/>
                <w:szCs w:val="22"/>
              </w:rPr>
              <w:t>.Н</w:t>
            </w:r>
            <w:proofErr w:type="gramEnd"/>
            <w:r w:rsidRPr="007D5E79">
              <w:rPr>
                <w:sz w:val="22"/>
                <w:szCs w:val="22"/>
              </w:rPr>
              <w:t xml:space="preserve">ижний Новгород, Нижегородский район, ул.Минина, д.2/8, </w:t>
            </w:r>
            <w:proofErr w:type="spellStart"/>
            <w:r w:rsidRPr="007D5E79">
              <w:rPr>
                <w:sz w:val="22"/>
                <w:szCs w:val="22"/>
              </w:rPr>
              <w:t>пом</w:t>
            </w:r>
            <w:proofErr w:type="spellEnd"/>
            <w:r w:rsidRPr="007D5E79">
              <w:rPr>
                <w:sz w:val="22"/>
                <w:szCs w:val="22"/>
              </w:rPr>
              <w:t xml:space="preserve"> п2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7D5E79" w:rsidRPr="007D5E79" w:rsidRDefault="007D5E79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52:18:0060084:67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7D5E79" w:rsidRPr="007D5E79" w:rsidRDefault="007D5E79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165,6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7D5E79" w:rsidRPr="007D5E79" w:rsidRDefault="007D5E79" w:rsidP="00D71630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>1956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D5E79" w:rsidRPr="007D5E79" w:rsidRDefault="007D5E79" w:rsidP="00D71608">
            <w:pPr>
              <w:ind w:left="57" w:right="57"/>
              <w:jc w:val="center"/>
              <w:rPr>
                <w:sz w:val="22"/>
                <w:szCs w:val="22"/>
              </w:rPr>
            </w:pPr>
            <w:r w:rsidRPr="007D5E79">
              <w:rPr>
                <w:sz w:val="22"/>
                <w:szCs w:val="22"/>
              </w:rPr>
              <w:t xml:space="preserve">Нежилое помещение расположено в подвале четырехэтажного жилого дома. Имеется </w:t>
            </w:r>
            <w:r w:rsidR="00D71608">
              <w:rPr>
                <w:sz w:val="22"/>
                <w:szCs w:val="22"/>
              </w:rPr>
              <w:t>2</w:t>
            </w:r>
            <w:r w:rsidR="00D71608" w:rsidRPr="007D5E79">
              <w:rPr>
                <w:sz w:val="22"/>
                <w:szCs w:val="22"/>
              </w:rPr>
              <w:t xml:space="preserve"> </w:t>
            </w:r>
            <w:proofErr w:type="gramStart"/>
            <w:r w:rsidR="00D71608" w:rsidRPr="007D5E79">
              <w:rPr>
                <w:sz w:val="22"/>
                <w:szCs w:val="22"/>
              </w:rPr>
              <w:t>совместны</w:t>
            </w:r>
            <w:r w:rsidR="00D71608">
              <w:rPr>
                <w:sz w:val="22"/>
                <w:szCs w:val="22"/>
              </w:rPr>
              <w:t>х</w:t>
            </w:r>
            <w:proofErr w:type="gramEnd"/>
            <w:r w:rsidR="00D71608" w:rsidRPr="007D5E79">
              <w:rPr>
                <w:sz w:val="22"/>
                <w:szCs w:val="22"/>
              </w:rPr>
              <w:t xml:space="preserve"> вход</w:t>
            </w:r>
            <w:r w:rsidR="00D71608">
              <w:rPr>
                <w:sz w:val="22"/>
                <w:szCs w:val="22"/>
              </w:rPr>
              <w:t xml:space="preserve">а и </w:t>
            </w:r>
            <w:r w:rsidR="009C7049">
              <w:rPr>
                <w:sz w:val="22"/>
                <w:szCs w:val="22"/>
              </w:rPr>
              <w:t>1 отдельный вход</w:t>
            </w:r>
            <w:r w:rsidRPr="007D5E79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5E79" w:rsidRPr="007D5E79" w:rsidRDefault="007D5E79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3 457 701,5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D5E79" w:rsidRPr="007D5E79" w:rsidRDefault="007D5E79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345 770,15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7D5E79" w:rsidRPr="007D5E79" w:rsidRDefault="007D5E79" w:rsidP="00D71630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D5E79">
              <w:rPr>
                <w:b/>
                <w:sz w:val="22"/>
                <w:szCs w:val="22"/>
              </w:rPr>
              <w:t>172 885,07</w:t>
            </w:r>
          </w:p>
        </w:tc>
      </w:tr>
    </w:tbl>
    <w:p w:rsidR="008062F6" w:rsidRDefault="008062F6" w:rsidP="008062F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FA63C0" w:rsidRDefault="00FA63C0" w:rsidP="00FA63C0">
      <w:pPr>
        <w:pStyle w:val="a3"/>
        <w:rPr>
          <w:sz w:val="26"/>
          <w:szCs w:val="26"/>
          <w:u w:val="single"/>
        </w:rPr>
      </w:pPr>
    </w:p>
    <w:p w:rsidR="007D5E79" w:rsidRPr="00794338" w:rsidRDefault="007D5E79" w:rsidP="007D5E7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 №</w:t>
      </w:r>
      <w:r w:rsidRPr="00785754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9</w:t>
      </w:r>
      <w:r w:rsidRPr="00794338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7D5E79" w:rsidRDefault="007D5E79" w:rsidP="007D5E79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</w:t>
      </w:r>
      <w:r w:rsidRPr="00794338">
        <w:rPr>
          <w:b/>
          <w:sz w:val="26"/>
          <w:szCs w:val="26"/>
        </w:rPr>
        <w:lastRenderedPageBreak/>
        <w:t>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7D5E79" w:rsidRDefault="007D5E79" w:rsidP="007D5E79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FA63C0" w:rsidRDefault="007D5E79" w:rsidP="007D5E7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D5E79">
        <w:rPr>
          <w:b/>
          <w:sz w:val="26"/>
          <w:szCs w:val="26"/>
          <w:u w:val="single"/>
        </w:rPr>
        <w:t>По лоту № 9: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7D5E79" w:rsidRDefault="007D5E79" w:rsidP="007D5E7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D5E79" w:rsidRDefault="007D5E79" w:rsidP="007D5E7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D5E79">
        <w:rPr>
          <w:b/>
          <w:sz w:val="26"/>
          <w:szCs w:val="26"/>
          <w:u w:val="single"/>
        </w:rPr>
        <w:t>По лоту № 9:</w:t>
      </w:r>
      <w:r w:rsidRPr="00C64494">
        <w:rPr>
          <w:b/>
          <w:sz w:val="26"/>
          <w:szCs w:val="26"/>
        </w:rPr>
        <w:t xml:space="preserve"> указанный объект</w:t>
      </w:r>
      <w:r>
        <w:rPr>
          <w:b/>
          <w:sz w:val="26"/>
          <w:szCs w:val="26"/>
        </w:rPr>
        <w:t xml:space="preserve"> недвижимости</w:t>
      </w:r>
      <w:r w:rsidRPr="00C64494">
        <w:rPr>
          <w:b/>
          <w:sz w:val="26"/>
          <w:szCs w:val="26"/>
        </w:rPr>
        <w:t xml:space="preserve"> является выявленным объектом культурного</w:t>
      </w:r>
      <w:r>
        <w:rPr>
          <w:b/>
          <w:sz w:val="26"/>
          <w:szCs w:val="26"/>
        </w:rPr>
        <w:t xml:space="preserve"> наследия Н</w:t>
      </w:r>
      <w:r w:rsidRPr="00C64494">
        <w:rPr>
          <w:b/>
          <w:sz w:val="26"/>
          <w:szCs w:val="26"/>
        </w:rPr>
        <w:t>ижегородской области</w:t>
      </w:r>
      <w:r>
        <w:rPr>
          <w:b/>
          <w:sz w:val="26"/>
          <w:szCs w:val="26"/>
        </w:rPr>
        <w:t xml:space="preserve"> (приказ департамента охраны историко-культурного наследия Нижнего Новгорода и Нижегородской области от 23.03.2001 № 4-ОД). </w:t>
      </w:r>
    </w:p>
    <w:p w:rsidR="007D5E79" w:rsidRPr="007D5E79" w:rsidRDefault="007D5E79" w:rsidP="007D5E7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Обязательным условием договора купли-продажи объекта является обязательство покупателя п</w:t>
      </w:r>
      <w:r w:rsidRPr="00E83DEA">
        <w:rPr>
          <w:b/>
          <w:sz w:val="26"/>
          <w:szCs w:val="26"/>
        </w:rPr>
        <w:t>ри осуществлении права владения, пользования и распоряжения объектом выполнять требования, предусмотренные пунктами 1-3 статьи 47.3 Федерального закона от 25.06.2002 № 73-ФЗ «Об объектах культурного наследия</w:t>
      </w:r>
      <w:r>
        <w:rPr>
          <w:b/>
          <w:sz w:val="26"/>
          <w:szCs w:val="26"/>
        </w:rPr>
        <w:t xml:space="preserve"> </w:t>
      </w:r>
      <w:r w:rsidRPr="00E83DEA">
        <w:rPr>
          <w:b/>
          <w:sz w:val="26"/>
          <w:szCs w:val="26"/>
        </w:rPr>
        <w:t>(памятниках истории и культуры) народов Российской Федерации».</w:t>
      </w:r>
    </w:p>
    <w:p w:rsidR="00893BEE" w:rsidRDefault="00893BEE" w:rsidP="00FA63C0">
      <w:pPr>
        <w:pStyle w:val="a3"/>
        <w:rPr>
          <w:sz w:val="26"/>
          <w:szCs w:val="26"/>
          <w:u w:val="single"/>
        </w:rPr>
      </w:pPr>
    </w:p>
    <w:p w:rsidR="00FA63C0" w:rsidRDefault="00FA63C0" w:rsidP="00FA63C0">
      <w:pPr>
        <w:pStyle w:val="a3"/>
        <w:rPr>
          <w:sz w:val="26"/>
          <w:szCs w:val="26"/>
        </w:rPr>
      </w:pPr>
      <w:r w:rsidRPr="007C1720">
        <w:rPr>
          <w:sz w:val="26"/>
          <w:szCs w:val="26"/>
          <w:u w:val="single"/>
        </w:rPr>
        <w:t>По лотам №№ 1-8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26.01.2022 № 2 и постановлением</w:t>
      </w:r>
      <w:r w:rsidRPr="008C2487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25.02.2022 № 772.</w:t>
      </w:r>
    </w:p>
    <w:p w:rsidR="005D252E" w:rsidRDefault="00FA63C0" w:rsidP="00FA63C0">
      <w:pPr>
        <w:tabs>
          <w:tab w:val="num" w:pos="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Продажа</w:t>
      </w:r>
      <w:r w:rsidRPr="005B06AD">
        <w:rPr>
          <w:sz w:val="26"/>
          <w:szCs w:val="26"/>
        </w:rPr>
        <w:t xml:space="preserve"> посредством публичного предложения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26.07.2022 № 5238567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5D252E" w:rsidRDefault="00FA63C0" w:rsidP="00FA63C0">
      <w:pPr>
        <w:tabs>
          <w:tab w:val="num" w:pos="0"/>
        </w:tabs>
        <w:jc w:val="both"/>
        <w:rPr>
          <w:b/>
          <w:sz w:val="26"/>
          <w:szCs w:val="26"/>
        </w:rPr>
      </w:pPr>
      <w:r w:rsidRPr="007C1720">
        <w:rPr>
          <w:sz w:val="26"/>
          <w:szCs w:val="26"/>
        </w:rPr>
        <w:t>Аукционы от 14.04.2022 № 5226958, от 03.06.2022 № 5231991</w:t>
      </w:r>
      <w:r>
        <w:rPr>
          <w:sz w:val="26"/>
          <w:szCs w:val="26"/>
        </w:rPr>
        <w:t>, от 09.03.2023 № 5266399</w:t>
      </w:r>
      <w:r w:rsidRPr="007C1720">
        <w:rPr>
          <w:sz w:val="26"/>
          <w:szCs w:val="26"/>
        </w:rPr>
        <w:t xml:space="preserve">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FA63C0" w:rsidRDefault="00FA63C0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893BEE" w:rsidRDefault="00893BEE" w:rsidP="00337E40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u w:val="single"/>
          <w:lang w:bidi="ru-RU"/>
        </w:rPr>
        <w:t xml:space="preserve">По лоту </w:t>
      </w:r>
      <w:r w:rsidRPr="00B25097">
        <w:rPr>
          <w:color w:val="000000"/>
          <w:sz w:val="26"/>
          <w:szCs w:val="26"/>
          <w:u w:val="single"/>
          <w:lang w:bidi="ru-RU"/>
        </w:rPr>
        <w:t xml:space="preserve">№ </w:t>
      </w:r>
      <w:r>
        <w:rPr>
          <w:color w:val="000000"/>
          <w:sz w:val="26"/>
          <w:szCs w:val="26"/>
          <w:u w:val="single"/>
          <w:lang w:bidi="ru-RU"/>
        </w:rPr>
        <w:t>9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 xml:space="preserve">от 25.05.2022 № 101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Нижнего Новгорода от 29.06.2022 № 3079. </w:t>
      </w:r>
    </w:p>
    <w:p w:rsidR="00FA63C0" w:rsidRPr="00893BEE" w:rsidRDefault="00893BEE" w:rsidP="00337E40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Аукционы от 22.09.2022 № 5245854, </w:t>
      </w:r>
      <w:r w:rsidR="00E7254B">
        <w:rPr>
          <w:sz w:val="26"/>
          <w:szCs w:val="26"/>
        </w:rPr>
        <w:t xml:space="preserve">от </w:t>
      </w:r>
      <w:r>
        <w:rPr>
          <w:sz w:val="26"/>
          <w:szCs w:val="26"/>
        </w:rPr>
        <w:t>10.11.2022 № 5251238</w:t>
      </w:r>
      <w:r w:rsidRPr="00893BEE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FA63C0" w:rsidRDefault="00FA63C0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FA63C0">
        <w:rPr>
          <w:rFonts w:eastAsia="Calibri"/>
          <w:sz w:val="26"/>
          <w:szCs w:val="26"/>
        </w:rPr>
        <w:t xml:space="preserve"> </w:t>
      </w:r>
      <w:r w:rsidR="00DB1B55">
        <w:rPr>
          <w:rFonts w:eastAsia="Calibri"/>
          <w:sz w:val="26"/>
          <w:szCs w:val="26"/>
        </w:rPr>
        <w:t>29.03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FA63C0">
        <w:rPr>
          <w:rFonts w:eastAsia="Calibri"/>
          <w:sz w:val="26"/>
          <w:szCs w:val="26"/>
        </w:rPr>
        <w:t xml:space="preserve"> </w:t>
      </w:r>
      <w:r w:rsidR="00DB1B55">
        <w:rPr>
          <w:rFonts w:eastAsia="Calibri"/>
          <w:sz w:val="26"/>
          <w:szCs w:val="26"/>
        </w:rPr>
        <w:t>02.05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FA63C0">
        <w:rPr>
          <w:sz w:val="26"/>
          <w:szCs w:val="26"/>
        </w:rPr>
        <w:t xml:space="preserve"> </w:t>
      </w:r>
      <w:r w:rsidR="00DB1B55">
        <w:rPr>
          <w:sz w:val="26"/>
          <w:szCs w:val="26"/>
        </w:rPr>
        <w:t>02.05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FA63C0">
        <w:rPr>
          <w:rFonts w:eastAsia="Calibri"/>
          <w:sz w:val="26"/>
          <w:szCs w:val="26"/>
        </w:rPr>
        <w:t xml:space="preserve"> </w:t>
      </w:r>
      <w:r w:rsidR="00DB1B55">
        <w:rPr>
          <w:rFonts w:eastAsia="Calibri"/>
          <w:sz w:val="26"/>
          <w:szCs w:val="26"/>
        </w:rPr>
        <w:t>10.05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FA63C0">
        <w:rPr>
          <w:b/>
          <w:sz w:val="26"/>
          <w:szCs w:val="26"/>
        </w:rPr>
        <w:t xml:space="preserve"> </w:t>
      </w:r>
      <w:r w:rsidR="00DB1B55" w:rsidRPr="00DB1B55">
        <w:rPr>
          <w:b/>
          <w:sz w:val="26"/>
          <w:szCs w:val="26"/>
          <w:u w:val="single"/>
        </w:rPr>
        <w:t>11.05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CE40F6" w:rsidRPr="00D62CCC">
        <w:rPr>
          <w:b/>
          <w:sz w:val="26"/>
          <w:szCs w:val="26"/>
          <w:u w:val="single"/>
        </w:rPr>
        <w:t>09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FC2F2E" w:rsidRDefault="00FC2F2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lastRenderedPageBreak/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день определения участников аукциона, указанный в информационном сообщении, Организатор через «личный кабинет» Продавца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не поступило ни одного предложения о начальной цене имущества, то аукцион с помощью программно-аппаратных средств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F467DC" w:rsidRPr="00F467DC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F467DC">
        <w:rPr>
          <w:spacing w:val="-3"/>
          <w:sz w:val="26"/>
          <w:szCs w:val="26"/>
        </w:rPr>
      </w:r>
      <w:r w:rsidR="00F467DC">
        <w:rPr>
          <w:spacing w:val="-3"/>
          <w:sz w:val="26"/>
          <w:szCs w:val="26"/>
        </w:rPr>
        <w:fldChar w:fldCharType="separate"/>
      </w:r>
      <w:r w:rsidR="00F467DC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062F6">
      <w:headerReference w:type="default" r:id="rId12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1E" w:rsidRDefault="002B741E" w:rsidP="00D42863">
      <w:r>
        <w:separator/>
      </w:r>
    </w:p>
  </w:endnote>
  <w:endnote w:type="continuationSeparator" w:id="0">
    <w:p w:rsidR="002B741E" w:rsidRDefault="002B741E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1E" w:rsidRDefault="002B741E" w:rsidP="00D42863">
      <w:r>
        <w:separator/>
      </w:r>
    </w:p>
  </w:footnote>
  <w:footnote w:type="continuationSeparator" w:id="0">
    <w:p w:rsidR="002B741E" w:rsidRDefault="002B741E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1E" w:rsidRDefault="00F467DC">
    <w:pPr>
      <w:pStyle w:val="ab"/>
      <w:jc w:val="center"/>
    </w:pPr>
    <w:fldSimple w:instr=" PAGE   \* MERGEFORMAT ">
      <w:r w:rsidR="00DC158D">
        <w:rPr>
          <w:noProof/>
        </w:rPr>
        <w:t>5</w:t>
      </w:r>
    </w:fldSimple>
  </w:p>
  <w:p w:rsidR="002B741E" w:rsidRDefault="002B741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059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58D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467DC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5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C0FB9-C16C-4401-AC7F-5EFE9D84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6000</Words>
  <Characters>44530</Characters>
  <Application>Microsoft Office Word</Application>
  <DocSecurity>0</DocSecurity>
  <Lines>371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50430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11</cp:revision>
  <cp:lastPrinted>2023-03-24T07:06:00Z</cp:lastPrinted>
  <dcterms:created xsi:type="dcterms:W3CDTF">2023-03-24T06:56:00Z</dcterms:created>
  <dcterms:modified xsi:type="dcterms:W3CDTF">2023-03-27T09:53:00Z</dcterms:modified>
</cp:coreProperties>
</file>