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>вгорода от 04.04.2023 № 1970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>кциона в электронной форме по продаже земельного участка, расположенного по адресу: Российская Федерация, Нижегородская область, городской округ город Нижний Новгород, город Нижний Новгород, улица Парашютистов, земельный участок 104, кадастровый номер 52:18:0010297:262, с видом разрешенного использования: для индивидуального жилищного строительства»</w:t>
      </w:r>
      <w:r w:rsidR="004474C3">
        <w:rPr>
          <w:rFonts w:ascii="Times New Roman" w:hAnsi="Times New Roman" w:cs="Times New Roman"/>
          <w:sz w:val="24"/>
          <w:szCs w:val="24"/>
        </w:rPr>
        <w:t>;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0A">
        <w:rPr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>нижнийновгород</w:t>
      </w:r>
      <w:r w:rsidRPr="00414F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3DC">
        <w:rPr>
          <w:rFonts w:ascii="Times New Roman" w:hAnsi="Times New Roman" w:cs="Times New Roman"/>
          <w:sz w:val="24"/>
          <w:szCs w:val="24"/>
          <w:lang w:val="en-US"/>
        </w:rPr>
        <w:t>kugi</w:t>
      </w:r>
      <w:proofErr w:type="spellEnd"/>
      <w:r w:rsidRPr="0017054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A43DC">
        <w:rPr>
          <w:rFonts w:ascii="Times New Roman" w:hAnsi="Times New Roman" w:cs="Times New Roman"/>
          <w:sz w:val="24"/>
          <w:szCs w:val="24"/>
          <w:lang w:val="en-US"/>
        </w:rPr>
        <w:t>admgor</w:t>
      </w:r>
      <w:proofErr w:type="spellEnd"/>
      <w:r w:rsidRPr="001705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3DC">
        <w:rPr>
          <w:rFonts w:ascii="Times New Roman" w:hAnsi="Times New Roman" w:cs="Times New Roman"/>
          <w:sz w:val="24"/>
          <w:szCs w:val="24"/>
          <w:lang w:val="en-US"/>
        </w:rPr>
        <w:t>nnov</w:t>
      </w:r>
      <w:proofErr w:type="spellEnd"/>
      <w:r w:rsidRPr="0017054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3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www.fabrikant.ru</w:t>
      </w:r>
      <w:proofErr w:type="spellEnd"/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собственность на который не разграничена, расположенный по адресу: Российская Федерация, Нижегородская область, городской округ город Нижний Новгород, город Нижний Новгород, улица Парашютистов, земельный участок 104, кадастровый номер 52:18:0010297:262, с видом разрешенного использования: для индивидуального жилищного строительства</w:t>
      </w:r>
      <w:r w:rsidR="00E22A5E">
        <w:rPr>
          <w:rFonts w:ascii="Times New Roman" w:hAnsi="Times New Roman" w:cs="Times New Roman"/>
          <w:sz w:val="24"/>
          <w:szCs w:val="24"/>
        </w:rPr>
        <w:t xml:space="preserve"> 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1F11CA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1CA">
        <w:rPr>
          <w:rFonts w:ascii="Times New Roman" w:hAnsi="Times New Roman" w:cs="Times New Roman"/>
          <w:bCs/>
          <w:sz w:val="24"/>
          <w:szCs w:val="24"/>
        </w:rPr>
        <w:t>установлено относительно ориентира, расположенного в границах участка.</w:t>
      </w:r>
      <w:r>
        <w:rPr>
          <w:rFonts w:ascii="Times New Roman" w:hAnsi="Times New Roman" w:cs="Times New Roman"/>
          <w:sz w:val="24"/>
          <w:szCs w:val="24"/>
        </w:rPr>
        <w:t xml:space="preserve"> Почтовый адрес ориентира: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Российская Федерация, Нижегородская область, городской округ город Нижний Новгород, город Нижний Новгород, улица Парашютистов, земельный участок 104.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521  +/- 8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52:18:0010297:262.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не зарегистрированы.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P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Нижегородская область, городской округ город Нижний Новгород, город Нижний Новгород, улица Парашютистов, земельный участок 104, № 62ГС-2022, дата выдачи 16.08.2022, содержит информацию о земельном участке.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Чертеж градостроительной справки земельного участка (арх. номер 62ГС-2022) разработан на топографической основе в масштабе 1:500 (</w:t>
      </w:r>
      <w:proofErr w:type="gramStart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выполнена</w:t>
      </w:r>
      <w:proofErr w:type="gramEnd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октябре 2020 г. МБУ «</w:t>
      </w:r>
      <w:proofErr w:type="spellStart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Нижегородгражданпроект</w:t>
      </w:r>
      <w:proofErr w:type="spellEnd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»), содержит информацию о наличии инженерных сетей и градостроительных ограничений.</w:t>
      </w:r>
    </w:p>
    <w:p w:rsidR="00AB1674" w:rsidRPr="00AB1674" w:rsidRDefault="00AB1674" w:rsidP="00567D2E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Новгорода», земельный участок расположен в территориальной зоне </w:t>
      </w:r>
      <w:r w:rsidRPr="00AA232F">
        <w:rPr>
          <w:rFonts w:ascii="Times New Roman" w:hAnsi="Times New Roman" w:cs="Times New Roman"/>
          <w:b/>
          <w:sz w:val="24"/>
          <w:szCs w:val="24"/>
        </w:rPr>
        <w:t>ТЖи-2</w:t>
      </w:r>
      <w:r w:rsidRPr="00AB1674">
        <w:rPr>
          <w:rFonts w:ascii="Times New Roman" w:hAnsi="Times New Roman" w:cs="Times New Roman"/>
          <w:sz w:val="24"/>
          <w:szCs w:val="24"/>
        </w:rPr>
        <w:t xml:space="preserve"> (зона индивидуальной среднеплотной жилой застройки). Градостроительный регламент установлен.</w:t>
      </w:r>
    </w:p>
    <w:p w:rsidR="00AB1674" w:rsidRPr="000B4978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AB1674" w:rsidRPr="00AB1674" w:rsidRDefault="00AB1674" w:rsidP="003457B9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> 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3) (полностью); </w:t>
      </w:r>
    </w:p>
    <w:p w:rsidR="00AB1674" w:rsidRPr="00AB1674" w:rsidRDefault="00AB1674" w:rsidP="003457B9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> 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территор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ии аэ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>родрома Нижний Новгород (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Стригино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>) (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подзона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5) (полностью); </w:t>
      </w:r>
    </w:p>
    <w:p w:rsidR="00AB1674" w:rsidRPr="00AB1674" w:rsidRDefault="00AB1674" w:rsidP="003457B9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noBreakHyphen/>
        <w:t xml:space="preserve"> зоны санитарной охраны водозаборов (3 пояс), (подающих воду из поверхностного источника питьевого и хозяйственно-бытового водоснабжения – 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Чебоксарское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водохранилище: р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>ка, р.Волга) (полностью);</w:t>
      </w:r>
    </w:p>
    <w:p w:rsidR="00AB1674" w:rsidRPr="00AB1674" w:rsidRDefault="00AB1674" w:rsidP="003457B9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lastRenderedPageBreak/>
        <w:noBreakHyphen/>
        <w:t xml:space="preserve"> зоны санитарной охраны (третий пояс) водопроводной станции </w:t>
      </w:r>
      <w:proofErr w:type="spellStart"/>
      <w:r w:rsidRPr="00AB1674">
        <w:rPr>
          <w:rFonts w:ascii="Times New Roman" w:hAnsi="Times New Roman" w:cs="Times New Roman"/>
          <w:sz w:val="24"/>
          <w:szCs w:val="24"/>
        </w:rPr>
        <w:t>Ново-Сормовская</w:t>
      </w:r>
      <w:proofErr w:type="spellEnd"/>
      <w:r w:rsidRPr="00AB1674">
        <w:rPr>
          <w:rFonts w:ascii="Times New Roman" w:hAnsi="Times New Roman" w:cs="Times New Roman"/>
          <w:sz w:val="24"/>
          <w:szCs w:val="24"/>
        </w:rPr>
        <w:t xml:space="preserve"> АО «Нижегородский водоканал», расположенной на реке Волге в Нижегородской области, городском округе город Нижний Новгород (реестровые номера 52:18-6.1737) (полностью);</w:t>
      </w:r>
    </w:p>
    <w:p w:rsidR="00AB1674" w:rsidRPr="00AB1674" w:rsidRDefault="00AB1674" w:rsidP="00567D2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- охранная зона газораспределительных сетей (газопровод) (частично).</w:t>
      </w:r>
    </w:p>
    <w:p w:rsidR="00AB1674" w:rsidRPr="00AB1674" w:rsidRDefault="00AB1674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>, установленные градостроительным регламентом для территориальной зоны ТЖи-2 (зона индивидуальной среднеплотной жилой застройки), в которой расположен земельный участок: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Высота – 20 м в соответствии с Градостроительным кодексом РФ от 29.12.2004 № 190-ФЗ (с изменениями) (п.39 ст.1).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smartTag w:uri="urn:schemas-microsoft-com:office:smarttags" w:element="metricconverter">
        <w:smartTagPr>
          <w:attr w:name="ProductID" w:val="3 м"/>
        </w:smartTagPr>
        <w:r w:rsidRPr="00AB1674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 м</w:t>
        </w:r>
      </w:smartTag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</w:t>
      </w:r>
      <w:bookmarkStart w:id="0" w:name="_Hlk70575109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индивидуального жилого дома</w:t>
      </w:r>
      <w:bookmarkEnd w:id="0"/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AA232F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 до хозяйственных построек, строений, сооружений вспомогательного использования, открытых стоянок.</w:t>
      </w:r>
    </w:p>
    <w:p w:rsidR="00AB1674" w:rsidRPr="00567D2E" w:rsidRDefault="00AB1674" w:rsidP="00567D2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2F" w:rsidRP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нагрузка по водоснабжению – 1,2 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нагрузка по водоотведению – 1,2 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- наружное пожаротушение – 10 л/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водоснабжения – водопроводная линия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=200-250мм, по ул. Кима. Для наружного пожаротушения установить пожарный гидрант на проектируемых сетях водопровода в соответствии с действующими строительными нормами и правилами.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водоотведения – канализационная линия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=150мм, идущая от жилого дома № 33 по ул. Ясная.</w:t>
      </w:r>
    </w:p>
    <w:p w:rsid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232F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Федерации и положений отдельных актов правительства Российской Федерации».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к сети дождевой канализации</w:t>
      </w:r>
      <w:r w:rsidRPr="00AA232F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</w:t>
      </w:r>
      <w:r w:rsidRPr="00AA232F">
        <w:rPr>
          <w:rFonts w:ascii="Times New Roman" w:hAnsi="Times New Roman" w:cs="Times New Roman"/>
          <w:sz w:val="24"/>
          <w:szCs w:val="24"/>
        </w:rPr>
        <w:lastRenderedPageBreak/>
        <w:t>Новгорода»</w:t>
      </w:r>
      <w:r w:rsidRPr="00AA232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AA232F">
        <w:rPr>
          <w:rFonts w:ascii="Times New Roman" w:hAnsi="Times New Roman" w:cs="Times New Roman"/>
          <w:sz w:val="24"/>
          <w:szCs w:val="24"/>
        </w:rPr>
        <w:t>отсутствует, в связи с отсутствием в районе вышеуказанного земельного участка сетей дождевой канализации.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AA232F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 куб</w:t>
      </w:r>
      <w:proofErr w:type="gramStart"/>
      <w:r w:rsidRPr="00AA23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232F">
        <w:rPr>
          <w:rFonts w:ascii="Times New Roman" w:hAnsi="Times New Roman" w:cs="Times New Roman"/>
          <w:sz w:val="24"/>
          <w:szCs w:val="24"/>
        </w:rPr>
        <w:t>/ч имеется.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Точкой подключения может быть избран газопровод низкого давления диаметром 219</w:t>
      </w:r>
      <w:r w:rsidR="00B941CB">
        <w:rPr>
          <w:rFonts w:ascii="Times New Roman" w:hAnsi="Times New Roman" w:cs="Times New Roman"/>
          <w:sz w:val="24"/>
          <w:szCs w:val="24"/>
        </w:rPr>
        <w:t> </w:t>
      </w:r>
      <w:r w:rsidRPr="00AA232F">
        <w:rPr>
          <w:rFonts w:ascii="Times New Roman" w:hAnsi="Times New Roman" w:cs="Times New Roman"/>
          <w:sz w:val="24"/>
          <w:szCs w:val="24"/>
        </w:rPr>
        <w:t>мм, проложенный по ул. Кима.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Для заключения договора о подключении (технологическом присоединении) объекта капитального строительства 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»):</w:t>
      </w:r>
    </w:p>
    <w:p w:rsidR="00AA232F" w:rsidRPr="00AA232F" w:rsidRDefault="00AA232F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подключения объекта капитального строительства к сети электросвязи </w:t>
      </w:r>
      <w:r w:rsidRPr="00AA232F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 xml:space="preserve">» требуется строительство ВОЛС от ПС-270/2 (г. Нижний Новгород, ул. </w:t>
      </w:r>
      <w:proofErr w:type="gramStart"/>
      <w:r w:rsidRPr="00AA232F">
        <w:rPr>
          <w:rFonts w:ascii="Times New Roman" w:hAnsi="Times New Roman" w:cs="Times New Roman"/>
          <w:bCs/>
          <w:sz w:val="24"/>
          <w:szCs w:val="24"/>
        </w:rPr>
        <w:t>Планетная</w:t>
      </w:r>
      <w:proofErr w:type="gramEnd"/>
      <w:r w:rsidRPr="00AA232F">
        <w:rPr>
          <w:rFonts w:ascii="Times New Roman" w:hAnsi="Times New Roman" w:cs="Times New Roman"/>
          <w:bCs/>
          <w:sz w:val="24"/>
          <w:szCs w:val="24"/>
        </w:rPr>
        <w:t xml:space="preserve">, 35а). </w:t>
      </w:r>
    </w:p>
    <w:p w:rsidR="00801D58" w:rsidRPr="00AA232F" w:rsidRDefault="00AA232F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>Процедура подключения, порядок и сроки внесения платы за подключение устанавливаются в соответствии с правилами подключения (технологического присоединения) к сетям ПАО «</w:t>
      </w:r>
      <w:proofErr w:type="spellStart"/>
      <w:r w:rsidRPr="00AA232F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AA232F">
        <w:rPr>
          <w:rFonts w:ascii="Times New Roman" w:hAnsi="Times New Roman" w:cs="Times New Roman"/>
          <w:sz w:val="24"/>
          <w:szCs w:val="24"/>
        </w:rPr>
        <w:t>». Плата будет определяться исходя из технических параметров подключения в конкретном случае.</w:t>
      </w:r>
    </w:p>
    <w:p w:rsidR="00C24608" w:rsidRP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 w:rsidR="004F093D"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 w:rsidR="004F093D"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 xml:space="preserve">отсутствует в связи с отсутствием в районе указанной территории действующих систем теплоснабжения. </w:t>
      </w: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>. 219</w:t>
      </w:r>
      <w:r w:rsidRPr="00AA232F">
        <w:rPr>
          <w:rFonts w:ascii="Times New Roman" w:hAnsi="Times New Roman" w:cs="Times New Roman"/>
          <w:sz w:val="24"/>
          <w:szCs w:val="24"/>
        </w:rPr>
        <w:t>, тел. 435-69-33,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8F4DD1" w:rsidRPr="003457B9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 1 340 486 (один миллион триста сорок тысяч четыреста восемьдесят шесть) рублей.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 xml:space="preserve">определена на основании отчета от 27.10.2022 </w:t>
      </w:r>
      <w:r w:rsidRPr="003457B9">
        <w:rPr>
          <w:rFonts w:ascii="Times New Roman" w:hAnsi="Times New Roman" w:cs="Times New Roman"/>
          <w:sz w:val="24"/>
          <w:szCs w:val="24"/>
        </w:rPr>
        <w:br/>
        <w:t xml:space="preserve">№ 305/13-09 об оценке Объекта оценки: Земельный участок общей площадью 521 кв. м, с кадастровым номером 52:18:0010297:262, категория земель: земли населенных пунктов, разрешенное использование: </w:t>
      </w:r>
      <w:r w:rsidRPr="003457B9">
        <w:rPr>
          <w:rFonts w:ascii="Times New Roman" w:hAnsi="Times New Roman" w:cs="Times New Roman"/>
          <w:bCs/>
          <w:sz w:val="24"/>
          <w:szCs w:val="24"/>
        </w:rPr>
        <w:t>для индивидуального жилищного строительства</w:t>
      </w:r>
      <w:r w:rsidRPr="003457B9">
        <w:rPr>
          <w:rFonts w:ascii="Times New Roman" w:hAnsi="Times New Roman" w:cs="Times New Roman"/>
          <w:sz w:val="24"/>
          <w:szCs w:val="24"/>
        </w:rPr>
        <w:t>, расположенный по адресу: Российская Федерация, Нижегородская область, городской округ город Нижний Новгород, город Нижний Новгород, улица Парашютистов, земельный участок 104</w:t>
      </w:r>
      <w:r w:rsidRPr="003457B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457B9">
        <w:rPr>
          <w:rFonts w:ascii="Times New Roman" w:hAnsi="Times New Roman" w:cs="Times New Roman"/>
          <w:sz w:val="24"/>
          <w:szCs w:val="24"/>
        </w:rPr>
        <w:t>выполненног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о ООО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> «ЗСКЦ» 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lastRenderedPageBreak/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40 200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457B9" w:rsidRPr="003457B9">
        <w:rPr>
          <w:rFonts w:ascii="Times New Roman" w:hAnsi="Times New Roman" w:cs="Times New Roman"/>
          <w:b/>
          <w:bCs/>
          <w:sz w:val="24"/>
          <w:szCs w:val="24"/>
        </w:rPr>
        <w:t>670</w:t>
      </w:r>
      <w:r w:rsidR="003457B9" w:rsidRPr="003457B9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3457B9" w:rsidRPr="003457B9">
        <w:rPr>
          <w:rFonts w:ascii="Times New Roman" w:hAnsi="Times New Roman" w:cs="Times New Roman"/>
          <w:b/>
          <w:bCs/>
          <w:sz w:val="24"/>
          <w:szCs w:val="24"/>
        </w:rPr>
        <w:t>243</w:t>
      </w:r>
      <w:r w:rsidR="003457B9" w:rsidRPr="00345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(шестьсот семьдесят тысяч двести сорок три) рубля.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3457B9"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3457B9"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9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941CB">
        <w:rPr>
          <w:rFonts w:ascii="Times New Roman" w:hAnsi="Times New Roman" w:cs="Times New Roman"/>
          <w:sz w:val="24"/>
          <w:szCs w:val="24"/>
        </w:rPr>
        <w:t>3</w:t>
      </w:r>
      <w:r w:rsidRPr="00D32A9A">
        <w:rPr>
          <w:rFonts w:ascii="Times New Roman" w:hAnsi="Times New Roman" w:cs="Times New Roman"/>
          <w:sz w:val="24"/>
          <w:szCs w:val="24"/>
        </w:rPr>
        <w:t xml:space="preserve">.04.2023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B285F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>.05.2023 в 1</w:t>
      </w:r>
      <w:r w:rsidR="00BB285F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32A9A">
        <w:rPr>
          <w:rFonts w:ascii="Times New Roman" w:hAnsi="Times New Roman" w:cs="Times New Roman"/>
          <w:sz w:val="24"/>
          <w:szCs w:val="24"/>
        </w:rPr>
        <w:t>.05.2023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1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1</w:t>
      </w:r>
      <w:r w:rsidR="003A3360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>.05.2023 в 1</w:t>
      </w:r>
      <w:r w:rsidR="00BB285F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3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 w:rsidR="004A5D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lastRenderedPageBreak/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5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16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17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18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567D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lastRenderedPageBreak/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lastRenderedPageBreak/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40D">
        <w:rPr>
          <w:rFonts w:ascii="Times New Roman" w:hAnsi="Times New Roman" w:cs="Times New Roman"/>
          <w:sz w:val="24"/>
          <w:szCs w:val="24"/>
        </w:rPr>
        <w:t xml:space="preserve"> 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0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lastRenderedPageBreak/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лот)</w:t>
      </w:r>
      <w:r w:rsidR="00301CF7">
        <w:rPr>
          <w:rFonts w:ascii="Times New Roman" w:hAnsi="Times New Roman" w:cs="Times New Roman"/>
          <w:b/>
          <w:sz w:val="24"/>
          <w:szCs w:val="24"/>
        </w:rPr>
        <w:t>, в</w:t>
      </w:r>
      <w:r w:rsidRPr="00D96CF6">
        <w:rPr>
          <w:rFonts w:ascii="Times New Roman" w:hAnsi="Times New Roman" w:cs="Times New Roman"/>
          <w:b/>
          <w:sz w:val="24"/>
          <w:szCs w:val="24"/>
        </w:rPr>
        <w:t xml:space="preserve"> том числе НДС 20%.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1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9.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Аукционная комиссия </w:t>
      </w:r>
    </w:p>
    <w:p w:rsidR="002C78DA" w:rsidRDefault="00821521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DA">
        <w:rPr>
          <w:rFonts w:ascii="Times New Roman" w:hAnsi="Times New Roman" w:cs="Times New Roman"/>
          <w:b/>
          <w:sz w:val="24"/>
          <w:szCs w:val="24"/>
        </w:rPr>
        <w:t>9.1.</w:t>
      </w:r>
      <w:r w:rsidR="002C78DA">
        <w:rPr>
          <w:rFonts w:ascii="Times New Roman" w:hAnsi="Times New Roman" w:cs="Times New Roman"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Аукционная комиссия формируется Организатором аукциона и осуществляет следующие полномочия: </w:t>
      </w:r>
    </w:p>
    <w:p w:rsidR="002C78DA" w:rsidRDefault="002C78DA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рассматривает Заявки и прилагаемые к ней документы на предмет соответствия требованиям, установленным Извещением; </w:t>
      </w:r>
    </w:p>
    <w:p w:rsidR="002C78DA" w:rsidRDefault="002C78DA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принимает решение о допуске к участию в аукционе и признании Заявителей </w:t>
      </w:r>
      <w:r w:rsidR="00E262BC">
        <w:rPr>
          <w:rFonts w:ascii="Times New Roman" w:hAnsi="Times New Roman" w:cs="Times New Roman"/>
          <w:sz w:val="24"/>
          <w:szCs w:val="24"/>
        </w:rPr>
        <w:t>у</w:t>
      </w:r>
      <w:r w:rsidR="00821521" w:rsidRPr="00821521">
        <w:rPr>
          <w:rFonts w:ascii="Times New Roman" w:hAnsi="Times New Roman" w:cs="Times New Roman"/>
          <w:sz w:val="24"/>
          <w:szCs w:val="24"/>
        </w:rPr>
        <w:t>частниками</w:t>
      </w:r>
      <w:r w:rsidR="00E262BC">
        <w:rPr>
          <w:rFonts w:ascii="Times New Roman" w:hAnsi="Times New Roman" w:cs="Times New Roman"/>
          <w:sz w:val="24"/>
          <w:szCs w:val="24"/>
        </w:rPr>
        <w:t xml:space="preserve"> аукциона (далее </w:t>
      </w:r>
      <w:r w:rsidR="00301CF7">
        <w:rPr>
          <w:rFonts w:ascii="Times New Roman" w:hAnsi="Times New Roman" w:cs="Times New Roman"/>
          <w:sz w:val="24"/>
          <w:szCs w:val="24"/>
        </w:rPr>
        <w:t xml:space="preserve">и везде по тексту Извещения </w:t>
      </w:r>
      <w:r w:rsidR="00E262BC">
        <w:rPr>
          <w:rFonts w:ascii="Times New Roman" w:hAnsi="Times New Roman" w:cs="Times New Roman"/>
          <w:sz w:val="24"/>
          <w:szCs w:val="24"/>
        </w:rPr>
        <w:t>– Участник)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7107E6" w:rsidRDefault="00821521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78DA">
        <w:rPr>
          <w:rFonts w:ascii="Times New Roman" w:hAnsi="Times New Roman" w:cs="Times New Roman"/>
          <w:b/>
          <w:sz w:val="24"/>
          <w:szCs w:val="24"/>
        </w:rPr>
        <w:t>9.2.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Аукционная комиссия правомочна осуществлять функции и полномочия, если на ее заседании присутствует не менее </w:t>
      </w:r>
      <w:r w:rsidR="00E262BC">
        <w:rPr>
          <w:rFonts w:ascii="Times New Roman" w:hAnsi="Times New Roman" w:cs="Times New Roman"/>
          <w:sz w:val="24"/>
          <w:szCs w:val="24"/>
        </w:rPr>
        <w:t xml:space="preserve">2/3 </w:t>
      </w:r>
      <w:r w:rsidRPr="00821521">
        <w:rPr>
          <w:rFonts w:ascii="Times New Roman" w:hAnsi="Times New Roman" w:cs="Times New Roman"/>
          <w:sz w:val="24"/>
          <w:szCs w:val="24"/>
        </w:rPr>
        <w:t>ее членов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E262BC" w:rsidRDefault="00E262BC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A1">
        <w:rPr>
          <w:rFonts w:ascii="Times New Roman" w:hAnsi="Times New Roman" w:cs="Times New Roman"/>
          <w:b/>
          <w:sz w:val="28"/>
          <w:szCs w:val="28"/>
        </w:rPr>
        <w:t>10.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10.1.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7107E6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b/>
          <w:sz w:val="24"/>
          <w:szCs w:val="24"/>
        </w:rPr>
        <w:t>10.2.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5F1211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DAE">
        <w:rPr>
          <w:rFonts w:ascii="Times New Roman" w:hAnsi="Times New Roman" w:cs="Times New Roman"/>
          <w:b/>
          <w:sz w:val="24"/>
          <w:szCs w:val="24"/>
        </w:rPr>
        <w:t>10.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6340D" w:rsidRDefault="007107E6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10.5.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11.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11.3.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11.1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proofErr w:type="gramStart"/>
      <w:r w:rsidR="007107E6" w:rsidRPr="00B35A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107E6"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12.2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12.3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58652A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12.3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12.3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lastRenderedPageBreak/>
        <w:t>12.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FF4" w:rsidRPr="00821521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случае,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 xml:space="preserve">, предусмотренные п.29 ст.39.12 Земельного </w:t>
      </w:r>
      <w:r w:rsidR="0058652A">
        <w:rPr>
          <w:rFonts w:ascii="Times New Roman" w:hAnsi="Times New Roman" w:cs="Times New Roman"/>
          <w:sz w:val="24"/>
          <w:szCs w:val="24"/>
        </w:rPr>
        <w:t>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230FF4" w:rsidRDefault="00230FF4" w:rsidP="00230FF4">
      <w:pPr>
        <w:spacing w:after="0" w:line="360" w:lineRule="exact"/>
        <w:ind w:firstLine="709"/>
        <w:jc w:val="both"/>
      </w:pPr>
    </w:p>
    <w:p w:rsidR="005D16E4" w:rsidRPr="005D16E4" w:rsidRDefault="005D16E4" w:rsidP="005D16E4">
      <w:pPr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3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65" w:rsidRDefault="00CA0765" w:rsidP="00414F0A">
      <w:pPr>
        <w:spacing w:after="0" w:line="240" w:lineRule="auto"/>
      </w:pPr>
      <w:r>
        <w:separator/>
      </w:r>
    </w:p>
  </w:endnote>
  <w:endnote w:type="continuationSeparator" w:id="0">
    <w:p w:rsidR="00CA0765" w:rsidRDefault="00CA0765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65" w:rsidRDefault="00CA0765" w:rsidP="00414F0A">
      <w:pPr>
        <w:spacing w:after="0" w:line="240" w:lineRule="auto"/>
      </w:pPr>
      <w:r>
        <w:separator/>
      </w:r>
    </w:p>
  </w:footnote>
  <w:footnote w:type="continuationSeparator" w:id="0">
    <w:p w:rsidR="00CA0765" w:rsidRDefault="00CA0765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CA0765" w:rsidRDefault="0075252C">
        <w:pPr>
          <w:pStyle w:val="a3"/>
          <w:jc w:val="center"/>
        </w:pPr>
        <w:r>
          <w:fldChar w:fldCharType="begin"/>
        </w:r>
        <w:r w:rsidR="005D16E4">
          <w:instrText xml:space="preserve"> PAGE   \* MERGEFORMAT </w:instrText>
        </w:r>
        <w:r>
          <w:fldChar w:fldCharType="separate"/>
        </w:r>
        <w:r w:rsidR="0058652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A0765" w:rsidRDefault="00CA07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3088B"/>
    <w:rsid w:val="000736E4"/>
    <w:rsid w:val="000A1F00"/>
    <w:rsid w:val="000A223E"/>
    <w:rsid w:val="000B4978"/>
    <w:rsid w:val="000D1260"/>
    <w:rsid w:val="000E39A6"/>
    <w:rsid w:val="0017054B"/>
    <w:rsid w:val="00174CC1"/>
    <w:rsid w:val="00190D47"/>
    <w:rsid w:val="00192088"/>
    <w:rsid w:val="001D22B0"/>
    <w:rsid w:val="001D58CB"/>
    <w:rsid w:val="001F11CA"/>
    <w:rsid w:val="00230FF4"/>
    <w:rsid w:val="002311CF"/>
    <w:rsid w:val="00233EBE"/>
    <w:rsid w:val="00261F2C"/>
    <w:rsid w:val="0028523C"/>
    <w:rsid w:val="002C6506"/>
    <w:rsid w:val="002C78DA"/>
    <w:rsid w:val="002E0613"/>
    <w:rsid w:val="00301CF7"/>
    <w:rsid w:val="00301E91"/>
    <w:rsid w:val="00306196"/>
    <w:rsid w:val="0032658F"/>
    <w:rsid w:val="003457B9"/>
    <w:rsid w:val="0035128B"/>
    <w:rsid w:val="00370D68"/>
    <w:rsid w:val="00391983"/>
    <w:rsid w:val="00397BE2"/>
    <w:rsid w:val="003A3360"/>
    <w:rsid w:val="004045E7"/>
    <w:rsid w:val="00414F0A"/>
    <w:rsid w:val="0041645C"/>
    <w:rsid w:val="00446DD4"/>
    <w:rsid w:val="004474C3"/>
    <w:rsid w:val="004652E0"/>
    <w:rsid w:val="00475BC7"/>
    <w:rsid w:val="004777E3"/>
    <w:rsid w:val="004A5DCE"/>
    <w:rsid w:val="004B19D3"/>
    <w:rsid w:val="004B24F3"/>
    <w:rsid w:val="004F093D"/>
    <w:rsid w:val="004F32E0"/>
    <w:rsid w:val="004F471E"/>
    <w:rsid w:val="0051519C"/>
    <w:rsid w:val="00534453"/>
    <w:rsid w:val="0054383B"/>
    <w:rsid w:val="00567D2E"/>
    <w:rsid w:val="00573A20"/>
    <w:rsid w:val="0058652A"/>
    <w:rsid w:val="005872AD"/>
    <w:rsid w:val="005A2470"/>
    <w:rsid w:val="005D16E4"/>
    <w:rsid w:val="005F1211"/>
    <w:rsid w:val="005F6F3F"/>
    <w:rsid w:val="00605181"/>
    <w:rsid w:val="006149F4"/>
    <w:rsid w:val="006316E2"/>
    <w:rsid w:val="00691C23"/>
    <w:rsid w:val="006E0587"/>
    <w:rsid w:val="006E7A70"/>
    <w:rsid w:val="006F1366"/>
    <w:rsid w:val="007107E6"/>
    <w:rsid w:val="00751B8B"/>
    <w:rsid w:val="0075252C"/>
    <w:rsid w:val="00785D73"/>
    <w:rsid w:val="00801D58"/>
    <w:rsid w:val="00803280"/>
    <w:rsid w:val="00821521"/>
    <w:rsid w:val="008263FE"/>
    <w:rsid w:val="008410C3"/>
    <w:rsid w:val="00841E67"/>
    <w:rsid w:val="008539F1"/>
    <w:rsid w:val="0088256C"/>
    <w:rsid w:val="008930DC"/>
    <w:rsid w:val="008A43DC"/>
    <w:rsid w:val="008F4DD1"/>
    <w:rsid w:val="00924E83"/>
    <w:rsid w:val="009663AE"/>
    <w:rsid w:val="009668D9"/>
    <w:rsid w:val="00992516"/>
    <w:rsid w:val="009C5C69"/>
    <w:rsid w:val="00A217C8"/>
    <w:rsid w:val="00A3667E"/>
    <w:rsid w:val="00A36DAE"/>
    <w:rsid w:val="00AA232F"/>
    <w:rsid w:val="00AB1674"/>
    <w:rsid w:val="00AB3F44"/>
    <w:rsid w:val="00AC088D"/>
    <w:rsid w:val="00B025F8"/>
    <w:rsid w:val="00B24DA3"/>
    <w:rsid w:val="00B35AA1"/>
    <w:rsid w:val="00B6340D"/>
    <w:rsid w:val="00B941CB"/>
    <w:rsid w:val="00BB285F"/>
    <w:rsid w:val="00C01924"/>
    <w:rsid w:val="00C02790"/>
    <w:rsid w:val="00C24608"/>
    <w:rsid w:val="00C32EDD"/>
    <w:rsid w:val="00C432AB"/>
    <w:rsid w:val="00C57A7D"/>
    <w:rsid w:val="00CA0765"/>
    <w:rsid w:val="00CB1F56"/>
    <w:rsid w:val="00CE14C4"/>
    <w:rsid w:val="00D20603"/>
    <w:rsid w:val="00D32A9A"/>
    <w:rsid w:val="00D35A2B"/>
    <w:rsid w:val="00D468D3"/>
    <w:rsid w:val="00D671A1"/>
    <w:rsid w:val="00D96CF6"/>
    <w:rsid w:val="00DB4952"/>
    <w:rsid w:val="00DB65B0"/>
    <w:rsid w:val="00E16B23"/>
    <w:rsid w:val="00E2231B"/>
    <w:rsid w:val="00E22A5E"/>
    <w:rsid w:val="00E255F1"/>
    <w:rsid w:val="00E262BC"/>
    <w:rsid w:val="00E737A4"/>
    <w:rsid w:val="00E80D72"/>
    <w:rsid w:val="00E923BD"/>
    <w:rsid w:val="00EB3205"/>
    <w:rsid w:val="00EC02BB"/>
    <w:rsid w:val="00ED064C"/>
    <w:rsid w:val="00F15BEF"/>
    <w:rsid w:val="00F9625A"/>
    <w:rsid w:val="00FA6EBC"/>
    <w:rsid w:val="00FC6732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ty@etpz.ru" TargetMode="External"/><Relationship Id="rId13" Type="http://schemas.openxmlformats.org/officeDocument/2006/relationships/hyperlink" Target="http://www.&#1085;&#1080;&#1078;&#1085;&#1080;&#1081;&#1085;&#1086;&#1074;&#1075;&#1086;&#1088;&#1086;&#1076;.&#1088;&#1092;" TargetMode="External"/><Relationship Id="rId18" Type="http://schemas.openxmlformats.org/officeDocument/2006/relationships/hyperlink" Target="http://www.fabrikan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brikant.ru/" TargetMode="External"/><Relationship Id="rId7" Type="http://schemas.openxmlformats.org/officeDocument/2006/relationships/hyperlink" Target="mailto:ann@admgor.nn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www.fabrikant.ru/rules/common?category-id=1547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www.fabrikant.ru/rules/common?category-id=171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fabrikant.ru" TargetMode="External"/><Relationship Id="rId19" Type="http://schemas.openxmlformats.org/officeDocument/2006/relationships/hyperlink" Target="https://www.fabrikant.ru/rules/common?category-id=1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rules/common?category-id=1716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s://www.fabrikant.ru/rules/common?category-id=1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3C545-3861-456E-A4CC-AA7752D2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14</Pages>
  <Words>5403</Words>
  <Characters>30802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22</cp:revision>
  <cp:lastPrinted>2023-04-13T08:23:00Z</cp:lastPrinted>
  <dcterms:created xsi:type="dcterms:W3CDTF">2023-04-12T12:16:00Z</dcterms:created>
  <dcterms:modified xsi:type="dcterms:W3CDTF">2023-04-14T06:53:00Z</dcterms:modified>
</cp:coreProperties>
</file>