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314866">
        <w:rPr>
          <w:b/>
          <w:color w:val="000000"/>
          <w:sz w:val="26"/>
          <w:szCs w:val="26"/>
        </w:rPr>
        <w:t>54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314866">
        <w:rPr>
          <w:b/>
          <w:sz w:val="30"/>
          <w:szCs w:val="30"/>
          <w:u w:val="single"/>
        </w:rPr>
        <w:t>27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C40CAE">
        <w:rPr>
          <w:b/>
          <w:sz w:val="30"/>
          <w:szCs w:val="30"/>
          <w:u w:val="single"/>
        </w:rPr>
        <w:t>декабря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A26ACB" w:rsidRPr="0058037D" w:rsidTr="00A26ACB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58037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4B7657" w:rsidRPr="0058037D" w:rsidTr="00A26ACB">
        <w:trPr>
          <w:trHeight w:hRule="exact" w:val="199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B7657" w:rsidRPr="0058037D" w:rsidRDefault="004B7657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B7657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помещение </w:t>
            </w:r>
          </w:p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(этаж № 2)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Автозаводский район, п.Новое </w:t>
            </w:r>
            <w:proofErr w:type="spellStart"/>
            <w:r w:rsidRPr="00360B11">
              <w:rPr>
                <w:sz w:val="22"/>
                <w:szCs w:val="22"/>
              </w:rPr>
              <w:t>Доскино</w:t>
            </w:r>
            <w:proofErr w:type="spellEnd"/>
            <w:r w:rsidRPr="00360B11">
              <w:rPr>
                <w:sz w:val="22"/>
                <w:szCs w:val="22"/>
              </w:rPr>
              <w:t xml:space="preserve">, линия 13-я, д.13, </w:t>
            </w:r>
            <w:proofErr w:type="spellStart"/>
            <w:r w:rsidRPr="00360B11">
              <w:rPr>
                <w:sz w:val="22"/>
                <w:szCs w:val="22"/>
              </w:rPr>
              <w:t>пом</w:t>
            </w:r>
            <w:proofErr w:type="spellEnd"/>
            <w:r w:rsidRPr="00360B11">
              <w:rPr>
                <w:sz w:val="22"/>
                <w:szCs w:val="22"/>
              </w:rPr>
              <w:t xml:space="preserve"> П6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B7657" w:rsidRPr="00360B11" w:rsidRDefault="004B7657" w:rsidP="00314866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52:18:0040051:9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24,0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1960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Нежилое помещение расположено на втором этаже двухэтажного нежилого здания. Имеется два совместных входа с пользователями других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875 520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87 552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43 776</w:t>
            </w:r>
          </w:p>
        </w:tc>
      </w:tr>
      <w:tr w:rsidR="004B7657" w:rsidRPr="0058037D" w:rsidTr="00A26ACB">
        <w:trPr>
          <w:trHeight w:hRule="exact" w:val="183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B7657" w:rsidRPr="0058037D" w:rsidRDefault="004B7657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Нежилое помещение</w:t>
            </w:r>
          </w:p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г</w:t>
            </w:r>
            <w:proofErr w:type="gramStart"/>
            <w:r w:rsidRPr="00360B11">
              <w:rPr>
                <w:sz w:val="22"/>
                <w:szCs w:val="22"/>
              </w:rPr>
              <w:t>.Н</w:t>
            </w:r>
            <w:proofErr w:type="gramEnd"/>
            <w:r w:rsidRPr="00360B11">
              <w:rPr>
                <w:sz w:val="22"/>
                <w:szCs w:val="22"/>
              </w:rPr>
              <w:t xml:space="preserve">ижний Новгород, Советский район, ул.Норвежская, д.33, </w:t>
            </w:r>
            <w:proofErr w:type="spellStart"/>
            <w:r w:rsidRPr="00360B11">
              <w:rPr>
                <w:sz w:val="22"/>
                <w:szCs w:val="22"/>
              </w:rPr>
              <w:t>пом</w:t>
            </w:r>
            <w:proofErr w:type="spellEnd"/>
            <w:r w:rsidRPr="00360B11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B7657" w:rsidRPr="00360B11" w:rsidRDefault="004B7657" w:rsidP="00314866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52:18:0070150:83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72,2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1963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B7657" w:rsidRPr="00360B11" w:rsidRDefault="004B7657" w:rsidP="008244BF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Нежилое помещение расположено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3 841 415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384 141,5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B7657" w:rsidRPr="00314866" w:rsidRDefault="004B7657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192 070,75</w:t>
            </w:r>
          </w:p>
        </w:tc>
      </w:tr>
      <w:tr w:rsidR="00314866" w:rsidRPr="0058037D" w:rsidTr="00A26ACB">
        <w:trPr>
          <w:trHeight w:hRule="exact" w:val="1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14866" w:rsidRPr="0058037D" w:rsidRDefault="00314866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14866" w:rsidRPr="003664DC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14866" w:rsidRPr="003664DC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Нижний, </w:t>
            </w:r>
            <w:r>
              <w:rPr>
                <w:rStyle w:val="Bodytext2"/>
                <w:sz w:val="22"/>
                <w:szCs w:val="22"/>
              </w:rPr>
              <w:t>Нижегородский</w:t>
            </w:r>
            <w:r w:rsidRPr="003664DC">
              <w:rPr>
                <w:rStyle w:val="Bodytext2"/>
                <w:sz w:val="22"/>
                <w:szCs w:val="22"/>
              </w:rPr>
              <w:t xml:space="preserve"> р</w:t>
            </w:r>
            <w:r>
              <w:rPr>
                <w:rStyle w:val="Bodytext2"/>
                <w:sz w:val="22"/>
                <w:szCs w:val="22"/>
              </w:rPr>
              <w:t>айон,</w:t>
            </w:r>
            <w:r w:rsidRPr="003664DC">
              <w:rPr>
                <w:rStyle w:val="Bodytext2"/>
                <w:sz w:val="22"/>
                <w:szCs w:val="22"/>
              </w:rPr>
              <w:t xml:space="preserve"> ул.</w:t>
            </w:r>
            <w:r>
              <w:rPr>
                <w:rStyle w:val="Bodytext2"/>
                <w:sz w:val="22"/>
                <w:szCs w:val="22"/>
              </w:rPr>
              <w:t>Ильинская</w:t>
            </w:r>
            <w:r w:rsidRPr="003664DC">
              <w:rPr>
                <w:rStyle w:val="Bodytext2"/>
                <w:sz w:val="22"/>
                <w:szCs w:val="22"/>
              </w:rPr>
              <w:t>, д.2</w:t>
            </w:r>
            <w:r>
              <w:rPr>
                <w:rStyle w:val="Bodytext2"/>
                <w:sz w:val="22"/>
                <w:szCs w:val="22"/>
              </w:rPr>
              <w:t xml:space="preserve">0а, </w:t>
            </w:r>
            <w:proofErr w:type="spellStart"/>
            <w:r>
              <w:rPr>
                <w:rStyle w:val="Bodytext2"/>
                <w:sz w:val="22"/>
                <w:szCs w:val="22"/>
              </w:rPr>
              <w:t>пом</w:t>
            </w:r>
            <w:proofErr w:type="spellEnd"/>
            <w:r>
              <w:rPr>
                <w:rStyle w:val="Bodytext2"/>
                <w:sz w:val="22"/>
                <w:szCs w:val="22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14866" w:rsidRPr="003664DC" w:rsidRDefault="00314866" w:rsidP="00314866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</w:t>
            </w:r>
            <w:r>
              <w:rPr>
                <w:sz w:val="22"/>
                <w:szCs w:val="22"/>
              </w:rPr>
              <w:t>6</w:t>
            </w:r>
            <w:r w:rsidRPr="003664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034</w:t>
            </w:r>
            <w:r w:rsidRPr="003664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866" w:rsidRPr="006255AC" w:rsidRDefault="00314866" w:rsidP="008244BF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58</w:t>
            </w:r>
            <w:r w:rsidRPr="003664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866" w:rsidRPr="006255AC" w:rsidRDefault="00314866" w:rsidP="008244BF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3664D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4866" w:rsidRPr="003664DC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 xml:space="preserve">Нежилое помещение расположено в подвале </w:t>
            </w:r>
            <w:r>
              <w:rPr>
                <w:sz w:val="22"/>
                <w:szCs w:val="22"/>
              </w:rPr>
              <w:t>двух</w:t>
            </w:r>
            <w:r w:rsidRPr="003664DC">
              <w:rPr>
                <w:sz w:val="22"/>
                <w:szCs w:val="22"/>
              </w:rPr>
              <w:t xml:space="preserve">этажного жилого дома. </w:t>
            </w:r>
            <w:r>
              <w:rPr>
                <w:sz w:val="22"/>
                <w:szCs w:val="22"/>
              </w:rPr>
              <w:t>Имеется один отдельный вход.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3 600 658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360 065,8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180 032,9</w:t>
            </w:r>
          </w:p>
        </w:tc>
      </w:tr>
      <w:tr w:rsidR="00314866" w:rsidRPr="0058037D" w:rsidTr="00A26ACB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14866" w:rsidRPr="0058037D" w:rsidRDefault="00314866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FD340A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ижний Новгород, Автозаводский район, </w:t>
            </w:r>
            <w:proofErr w:type="spellStart"/>
            <w:r w:rsidRPr="00FD340A">
              <w:rPr>
                <w:color w:val="000000"/>
                <w:sz w:val="22"/>
                <w:szCs w:val="22"/>
                <w:lang w:bidi="ru-RU"/>
              </w:rPr>
              <w:t>пр-кт</w:t>
            </w:r>
            <w:proofErr w:type="spell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Бусыгина, д.50,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14866" w:rsidRPr="00FD340A" w:rsidRDefault="00314866" w:rsidP="0031486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52:18:0040099:640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FD340A">
              <w:rPr>
                <w:sz w:val="22"/>
                <w:szCs w:val="22"/>
              </w:rPr>
              <w:t>19,7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FD340A">
              <w:rPr>
                <w:sz w:val="22"/>
                <w:szCs w:val="22"/>
              </w:rPr>
              <w:t>1988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девятиэтажного жилого дома. Вход совместный с жителями дома через подъезд №7.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1 255 087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125 508,7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62 754,35</w:t>
            </w:r>
          </w:p>
        </w:tc>
      </w:tr>
      <w:tr w:rsidR="00314866" w:rsidRPr="0058037D" w:rsidTr="00A26ACB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14866" w:rsidRDefault="00314866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(цокольный 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FD340A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FD340A"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район, ул.Сурикова, д.4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14866" w:rsidRPr="00FD340A" w:rsidRDefault="00314866" w:rsidP="0031486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52:18:0080009:188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FD340A">
              <w:rPr>
                <w:sz w:val="22"/>
                <w:szCs w:val="22"/>
              </w:rPr>
              <w:t>42,5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FD340A"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цокольном этаже пятиэтажного жилого дома. Вход совместный с пользователями других жилых помещений через подъезд №1.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2 077 400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207 740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103 870</w:t>
            </w:r>
          </w:p>
        </w:tc>
      </w:tr>
      <w:tr w:rsidR="00314866" w:rsidRPr="0058037D" w:rsidTr="00A26ACB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14866" w:rsidRDefault="00314866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встроенное помещение (цоколь)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FD340A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FD340A"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район, ул.Сурикова, д.4,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14866" w:rsidRPr="00FD340A" w:rsidRDefault="00314866" w:rsidP="0031486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52:18:0080009:2080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FD340A">
              <w:rPr>
                <w:sz w:val="22"/>
                <w:szCs w:val="22"/>
              </w:rPr>
              <w:t>42,6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 w:rsidRPr="00FD340A"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4866" w:rsidRPr="00FD340A" w:rsidRDefault="0031486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цокольном этаже пятиэтажного жилого дома. Вход совместный с пользователями других жилых помещений через подъезд №2.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2 081 010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208 101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14866" w:rsidRPr="00314866" w:rsidRDefault="00314866" w:rsidP="008244BF">
            <w:pPr>
              <w:jc w:val="center"/>
              <w:rPr>
                <w:b/>
                <w:sz w:val="22"/>
                <w:szCs w:val="22"/>
              </w:rPr>
            </w:pPr>
            <w:r w:rsidRPr="00314866">
              <w:rPr>
                <w:b/>
                <w:sz w:val="22"/>
                <w:szCs w:val="22"/>
              </w:rPr>
              <w:t>104 050,5</w:t>
            </w:r>
          </w:p>
        </w:tc>
      </w:tr>
      <w:tr w:rsidR="008244BF" w:rsidRPr="0058037D" w:rsidTr="00A26ACB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8244BF" w:rsidRDefault="008244BF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8244BF" w:rsidRDefault="00554C0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554C06" w:rsidRPr="00FD340A" w:rsidRDefault="00554C0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244BF" w:rsidRPr="00FD340A" w:rsidRDefault="00554C06" w:rsidP="00554C0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FD340A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FD340A"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район, ул.</w:t>
            </w:r>
            <w:r>
              <w:rPr>
                <w:color w:val="000000"/>
                <w:sz w:val="22"/>
                <w:szCs w:val="22"/>
                <w:lang w:bidi="ru-RU"/>
              </w:rPr>
              <w:t>Чукотская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>, д.</w:t>
            </w:r>
            <w:r>
              <w:rPr>
                <w:color w:val="000000"/>
                <w:sz w:val="22"/>
                <w:szCs w:val="22"/>
                <w:lang w:bidi="ru-RU"/>
              </w:rPr>
              <w:t>3А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bidi="ru-RU"/>
              </w:rPr>
              <w:t>пом.П10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8244BF" w:rsidRPr="00FD340A" w:rsidRDefault="00554C06" w:rsidP="0031486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52:18:0070228:1885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244BF" w:rsidRPr="00FD340A" w:rsidRDefault="00554C06" w:rsidP="00554C0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</w:t>
            </w:r>
            <w:r>
              <w:rPr>
                <w:color w:val="000000"/>
                <w:sz w:val="22"/>
                <w:szCs w:val="22"/>
                <w:lang w:bidi="ru-RU"/>
              </w:rPr>
              <w:t>первом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этаже пятиэтажного жилого дома. Вход совместный </w:t>
            </w:r>
            <w:r>
              <w:rPr>
                <w:color w:val="000000"/>
                <w:sz w:val="22"/>
                <w:szCs w:val="22"/>
                <w:lang w:bidi="ru-RU"/>
              </w:rPr>
              <w:t>с жителями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4C06" w:rsidRPr="00314866" w:rsidRDefault="00554C06" w:rsidP="00554C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337 531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44BF" w:rsidRPr="00314866" w:rsidRDefault="00554C06" w:rsidP="008244BF">
            <w:pPr>
              <w:jc w:val="center"/>
              <w:rPr>
                <w:b/>
                <w:sz w:val="22"/>
                <w:szCs w:val="22"/>
              </w:rPr>
            </w:pPr>
            <w:r w:rsidRPr="00554C06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4C06">
              <w:rPr>
                <w:b/>
                <w:sz w:val="22"/>
                <w:szCs w:val="22"/>
              </w:rPr>
              <w:t>753,1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8244BF" w:rsidRPr="00314866" w:rsidRDefault="00554C06" w:rsidP="008244BF">
            <w:pPr>
              <w:jc w:val="center"/>
              <w:rPr>
                <w:b/>
                <w:sz w:val="22"/>
                <w:szCs w:val="22"/>
              </w:rPr>
            </w:pPr>
            <w:r w:rsidRPr="00554C06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4C06">
              <w:rPr>
                <w:b/>
                <w:sz w:val="22"/>
                <w:szCs w:val="22"/>
              </w:rPr>
              <w:t>876,55</w:t>
            </w:r>
          </w:p>
        </w:tc>
      </w:tr>
      <w:tr w:rsidR="008244BF" w:rsidRPr="0058037D" w:rsidTr="00A26ACB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8244BF" w:rsidRDefault="008244BF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54C06" w:rsidRDefault="00554C06" w:rsidP="00554C0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8244BF" w:rsidRPr="00FD340A" w:rsidRDefault="00554C06" w:rsidP="00554C0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FD340A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FD340A">
              <w:rPr>
                <w:color w:val="000000"/>
                <w:sz w:val="22"/>
                <w:szCs w:val="22"/>
                <w:lang w:bidi="ru-RU"/>
              </w:rPr>
              <w:t>Приокский</w:t>
            </w:r>
            <w:proofErr w:type="spellEnd"/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район, ул.</w:t>
            </w:r>
            <w:r>
              <w:rPr>
                <w:color w:val="000000"/>
                <w:sz w:val="22"/>
                <w:szCs w:val="22"/>
                <w:lang w:bidi="ru-RU"/>
              </w:rPr>
              <w:t>Чукотская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>, д.</w:t>
            </w:r>
            <w:r>
              <w:rPr>
                <w:color w:val="000000"/>
                <w:sz w:val="22"/>
                <w:szCs w:val="22"/>
                <w:lang w:bidi="ru-RU"/>
              </w:rPr>
              <w:t>3А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bidi="ru-RU"/>
              </w:rPr>
              <w:t>пом.П11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8244BF" w:rsidRPr="00FD340A" w:rsidRDefault="00554C06" w:rsidP="0031486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52:18:0070228:1884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244BF" w:rsidRPr="00FD340A" w:rsidRDefault="00554C06" w:rsidP="008244BF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на </w:t>
            </w:r>
            <w:r>
              <w:rPr>
                <w:color w:val="000000"/>
                <w:sz w:val="22"/>
                <w:szCs w:val="22"/>
                <w:lang w:bidi="ru-RU"/>
              </w:rPr>
              <w:t>первом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этаже пятиэтажного жилого дома. Вход совместный </w:t>
            </w:r>
            <w:r>
              <w:rPr>
                <w:color w:val="000000"/>
                <w:sz w:val="22"/>
                <w:szCs w:val="22"/>
                <w:lang w:bidi="ru-RU"/>
              </w:rPr>
              <w:t>с жителями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44BF" w:rsidRPr="00314866" w:rsidRDefault="00554C06" w:rsidP="00824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310 858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44BF" w:rsidRPr="00314866" w:rsidRDefault="00554C06" w:rsidP="008244BF">
            <w:pPr>
              <w:jc w:val="center"/>
              <w:rPr>
                <w:b/>
                <w:sz w:val="22"/>
                <w:szCs w:val="22"/>
              </w:rPr>
            </w:pPr>
            <w:r w:rsidRPr="00554C06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4C06">
              <w:rPr>
                <w:b/>
                <w:sz w:val="22"/>
                <w:szCs w:val="22"/>
              </w:rPr>
              <w:t>085,8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8244BF" w:rsidRPr="00314866" w:rsidRDefault="00554C06" w:rsidP="008244BF">
            <w:pPr>
              <w:jc w:val="center"/>
              <w:rPr>
                <w:b/>
                <w:sz w:val="22"/>
                <w:szCs w:val="22"/>
              </w:rPr>
            </w:pPr>
            <w:r w:rsidRPr="00554C06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4C06">
              <w:rPr>
                <w:b/>
                <w:sz w:val="22"/>
                <w:szCs w:val="22"/>
              </w:rPr>
              <w:t>542,9</w:t>
            </w:r>
          </w:p>
        </w:tc>
      </w:tr>
    </w:tbl>
    <w:p w:rsidR="00C40CAE" w:rsidRDefault="00C40CAE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F4C31" w:rsidRDefault="00FA63C0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D340A" w:rsidRDefault="00FD340A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B7657" w:rsidRDefault="004B7657" w:rsidP="004B76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№ </w:t>
      </w:r>
      <w:r w:rsidR="00314866">
        <w:rPr>
          <w:b/>
          <w:sz w:val="26"/>
          <w:szCs w:val="26"/>
          <w:u w:val="single"/>
        </w:rPr>
        <w:t>2, 3, 5, 6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B7657" w:rsidRDefault="004B7657" w:rsidP="00A26ACB">
      <w:pPr>
        <w:jc w:val="both"/>
        <w:rPr>
          <w:b/>
          <w:sz w:val="26"/>
          <w:szCs w:val="26"/>
          <w:u w:val="single"/>
        </w:rPr>
      </w:pPr>
    </w:p>
    <w:p w:rsidR="004B7657" w:rsidRDefault="004B7657" w:rsidP="004B765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23.03.2022 № 41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14.04.2022 № 1625.</w:t>
      </w:r>
    </w:p>
    <w:p w:rsidR="004B7657" w:rsidRDefault="004B7657" w:rsidP="004B7657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Продажа посредством публичного предложения от 18.04.2023 № 5272890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4B7657" w:rsidRDefault="004B7657" w:rsidP="004B7657">
      <w:pPr>
        <w:tabs>
          <w:tab w:val="num" w:pos="0"/>
        </w:tabs>
        <w:jc w:val="both"/>
        <w:rPr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>Аукцион</w:t>
      </w:r>
      <w:r>
        <w:rPr>
          <w:color w:val="000000" w:themeColor="text1"/>
          <w:sz w:val="26"/>
          <w:szCs w:val="26"/>
        </w:rPr>
        <w:t>ы</w:t>
      </w:r>
      <w:r w:rsidRPr="00DA58C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 16.01.2023 № 5260021, от 14.11.2023 № 5303654</w:t>
      </w:r>
      <w:r w:rsidRPr="00DA58C6">
        <w:rPr>
          <w:color w:val="000000" w:themeColor="text1"/>
          <w:sz w:val="26"/>
          <w:szCs w:val="26"/>
        </w:rPr>
        <w:t xml:space="preserve"> по продаже не состоял</w:t>
      </w:r>
      <w:r>
        <w:rPr>
          <w:color w:val="000000" w:themeColor="text1"/>
          <w:sz w:val="26"/>
          <w:szCs w:val="26"/>
        </w:rPr>
        <w:t>ись</w:t>
      </w:r>
      <w:r w:rsidRPr="00DA58C6">
        <w:rPr>
          <w:color w:val="000000" w:themeColor="text1"/>
          <w:sz w:val="26"/>
          <w:szCs w:val="26"/>
        </w:rPr>
        <w:t xml:space="preserve"> в связи с </w:t>
      </w:r>
      <w:r>
        <w:rPr>
          <w:color w:val="000000" w:themeColor="text1"/>
          <w:sz w:val="26"/>
          <w:szCs w:val="26"/>
        </w:rPr>
        <w:t>тем, что не было подано ни одной заявки на участие либо ни один из претендентов не признан участником.</w:t>
      </w:r>
    </w:p>
    <w:p w:rsidR="004B7657" w:rsidRDefault="004B7657" w:rsidP="004B7657">
      <w:pPr>
        <w:tabs>
          <w:tab w:val="num" w:pos="0"/>
        </w:tabs>
        <w:jc w:val="both"/>
        <w:rPr>
          <w:sz w:val="26"/>
          <w:szCs w:val="26"/>
        </w:rPr>
      </w:pPr>
    </w:p>
    <w:p w:rsidR="004B7657" w:rsidRDefault="004B7657" w:rsidP="004B7657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6"/>
          <w:szCs w:val="26"/>
          <w:u w:val="single"/>
          <w:lang w:bidi="ru-RU"/>
        </w:rPr>
        <w:t>По лоту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23.03.2022 № 41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14.04.2022 № 1625.</w:t>
      </w:r>
    </w:p>
    <w:p w:rsidR="004B7657" w:rsidRDefault="004B7657" w:rsidP="004B7657">
      <w:pPr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FF4503">
        <w:rPr>
          <w:color w:val="000000"/>
          <w:sz w:val="26"/>
          <w:szCs w:val="26"/>
          <w:lang w:bidi="ru-RU"/>
        </w:rPr>
        <w:t xml:space="preserve"> посредством публичного предложения от </w:t>
      </w:r>
      <w:r>
        <w:rPr>
          <w:color w:val="000000"/>
          <w:sz w:val="26"/>
          <w:szCs w:val="26"/>
          <w:lang w:bidi="ru-RU"/>
        </w:rPr>
        <w:t xml:space="preserve">05.05.2023 № 5274207, от 16.06.2023 № 5280589 </w:t>
      </w:r>
      <w:r w:rsidRPr="00FF4503">
        <w:rPr>
          <w:color w:val="000000"/>
          <w:sz w:val="26"/>
          <w:szCs w:val="26"/>
          <w:lang w:bidi="ru-RU"/>
        </w:rPr>
        <w:t>не состоял</w:t>
      </w:r>
      <w:r>
        <w:rPr>
          <w:color w:val="000000"/>
          <w:sz w:val="26"/>
          <w:szCs w:val="26"/>
          <w:lang w:bidi="ru-RU"/>
        </w:rPr>
        <w:t>и</w:t>
      </w:r>
      <w:r w:rsidRPr="00FF4503">
        <w:rPr>
          <w:color w:val="000000"/>
          <w:sz w:val="26"/>
          <w:szCs w:val="26"/>
          <w:lang w:bidi="ru-RU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4B7657" w:rsidRDefault="004B7657" w:rsidP="00A26ACB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Аукционы от 13.12.2022 № 5256532, от 14.02.2023 № 5264409, от </w:t>
      </w:r>
      <w:r>
        <w:rPr>
          <w:color w:val="000000" w:themeColor="text1"/>
          <w:sz w:val="26"/>
          <w:szCs w:val="26"/>
        </w:rPr>
        <w:t>14.11.2023 № 5303654</w:t>
      </w:r>
      <w:r>
        <w:rPr>
          <w:color w:val="000000"/>
          <w:sz w:val="26"/>
          <w:szCs w:val="26"/>
          <w:lang w:bidi="ru-RU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601604" w:rsidRDefault="00601604" w:rsidP="00314866">
      <w:pPr>
        <w:jc w:val="both"/>
        <w:rPr>
          <w:sz w:val="26"/>
          <w:szCs w:val="26"/>
          <w:u w:val="single"/>
        </w:rPr>
      </w:pPr>
    </w:p>
    <w:p w:rsidR="00314866" w:rsidRDefault="00314866" w:rsidP="00314866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 3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24.05.2023 № 91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27.06.2023 № 4141.</w:t>
      </w:r>
    </w:p>
    <w:p w:rsidR="00314866" w:rsidRDefault="00314866" w:rsidP="00314866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Аукционы от 30.08.2023 № 5291601, от 11.10.2023 № 5298371, от 15.11.2023 № 5304164 </w:t>
      </w:r>
      <w:r>
        <w:rPr>
          <w:sz w:val="26"/>
          <w:szCs w:val="26"/>
        </w:rPr>
        <w:t>по продаже</w:t>
      </w:r>
      <w:r w:rsidRPr="00B12192">
        <w:rPr>
          <w:color w:val="000000"/>
          <w:sz w:val="26"/>
          <w:szCs w:val="26"/>
          <w:lang w:bidi="ru-RU"/>
        </w:rPr>
        <w:t xml:space="preserve"> не состоял</w:t>
      </w:r>
      <w:r>
        <w:rPr>
          <w:color w:val="000000"/>
          <w:sz w:val="26"/>
          <w:szCs w:val="26"/>
          <w:lang w:bidi="ru-RU"/>
        </w:rPr>
        <w:t>ись</w:t>
      </w:r>
      <w:r w:rsidRPr="00B12192"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314866" w:rsidRDefault="00314866" w:rsidP="00314866">
      <w:pPr>
        <w:jc w:val="both"/>
        <w:rPr>
          <w:color w:val="000000"/>
          <w:sz w:val="26"/>
          <w:szCs w:val="26"/>
          <w:lang w:bidi="ru-RU"/>
        </w:rPr>
      </w:pPr>
    </w:p>
    <w:p w:rsidR="00314866" w:rsidRDefault="00314866" w:rsidP="0031486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4, 5, 6</w:t>
      </w:r>
      <w:r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28.06.2023 № 128 и постановлением администрации города Нижнего Новгорода от 19.07.2023 № 4984</w:t>
      </w:r>
      <w:r>
        <w:rPr>
          <w:sz w:val="26"/>
          <w:szCs w:val="26"/>
        </w:rPr>
        <w:t>.</w:t>
      </w:r>
    </w:p>
    <w:p w:rsidR="00314866" w:rsidRDefault="00314866" w:rsidP="00314866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Аукционы от 16.10</w:t>
      </w:r>
      <w:r w:rsidRPr="00BA1D48">
        <w:rPr>
          <w:sz w:val="26"/>
          <w:szCs w:val="26"/>
        </w:rPr>
        <w:t>.2023 №</w:t>
      </w:r>
      <w:r>
        <w:rPr>
          <w:sz w:val="26"/>
          <w:szCs w:val="26"/>
        </w:rPr>
        <w:t xml:space="preserve"> 5299142, от 20.11.2023 № 5304873 по продаже не состоялись в связи с тем, что не было подано ни одной заявки на участие либо ни один из претендентов не признан участником</w:t>
      </w:r>
      <w:proofErr w:type="gramStart"/>
      <w:r>
        <w:rPr>
          <w:sz w:val="26"/>
          <w:szCs w:val="26"/>
        </w:rPr>
        <w:t>.</w:t>
      </w:r>
      <w:r w:rsidR="00554C06">
        <w:rPr>
          <w:sz w:val="26"/>
          <w:szCs w:val="26"/>
        </w:rPr>
        <w:t>,</w:t>
      </w:r>
      <w:proofErr w:type="gramEnd"/>
    </w:p>
    <w:p w:rsidR="00554C06" w:rsidRDefault="00554C06" w:rsidP="00314866">
      <w:pPr>
        <w:jc w:val="both"/>
        <w:rPr>
          <w:sz w:val="26"/>
          <w:szCs w:val="26"/>
        </w:rPr>
      </w:pPr>
    </w:p>
    <w:p w:rsidR="00554C06" w:rsidRDefault="00554C06" w:rsidP="00554C0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7, 8</w:t>
      </w:r>
      <w:r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25.10.2023 № 229 и постановлением администрации города Нижнего Новгорода от 07.11.2023 № 8126</w:t>
      </w:r>
      <w:r>
        <w:rPr>
          <w:sz w:val="26"/>
          <w:szCs w:val="26"/>
        </w:rPr>
        <w:t>.</w:t>
      </w:r>
    </w:p>
    <w:p w:rsidR="004B7657" w:rsidRDefault="004B7657" w:rsidP="00A26ACB">
      <w:pPr>
        <w:jc w:val="both"/>
        <w:rPr>
          <w:b/>
          <w:sz w:val="26"/>
          <w:szCs w:val="26"/>
          <w:u w:val="single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314866">
        <w:rPr>
          <w:rFonts w:eastAsia="Calibri"/>
          <w:sz w:val="26"/>
          <w:szCs w:val="26"/>
        </w:rPr>
        <w:t xml:space="preserve"> 24.11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46819">
        <w:rPr>
          <w:rFonts w:eastAsia="Calibri"/>
          <w:sz w:val="26"/>
          <w:szCs w:val="26"/>
        </w:rPr>
        <w:t xml:space="preserve"> </w:t>
      </w:r>
      <w:r w:rsidR="00314866">
        <w:rPr>
          <w:rFonts w:eastAsia="Calibri"/>
          <w:sz w:val="26"/>
          <w:szCs w:val="26"/>
        </w:rPr>
        <w:t>20</w:t>
      </w:r>
      <w:r w:rsidR="00D367B9">
        <w:rPr>
          <w:rFonts w:eastAsia="Calibri"/>
          <w:sz w:val="26"/>
          <w:szCs w:val="26"/>
        </w:rPr>
        <w:t>.12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46819">
        <w:rPr>
          <w:sz w:val="26"/>
          <w:szCs w:val="26"/>
        </w:rPr>
        <w:t xml:space="preserve"> </w:t>
      </w:r>
      <w:r w:rsidR="00314866">
        <w:rPr>
          <w:sz w:val="26"/>
          <w:szCs w:val="26"/>
        </w:rPr>
        <w:t>20</w:t>
      </w:r>
      <w:r w:rsidR="00D367B9">
        <w:rPr>
          <w:sz w:val="26"/>
          <w:szCs w:val="26"/>
        </w:rPr>
        <w:t>.12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46819">
        <w:rPr>
          <w:rFonts w:eastAsia="Calibri"/>
          <w:sz w:val="26"/>
          <w:szCs w:val="26"/>
        </w:rPr>
        <w:t xml:space="preserve"> </w:t>
      </w:r>
      <w:r w:rsidR="00314866">
        <w:rPr>
          <w:rFonts w:eastAsia="Calibri"/>
          <w:sz w:val="26"/>
          <w:szCs w:val="26"/>
        </w:rPr>
        <w:t>26</w:t>
      </w:r>
      <w:r w:rsidR="00405705">
        <w:rPr>
          <w:rFonts w:eastAsia="Calibri"/>
          <w:sz w:val="26"/>
          <w:szCs w:val="26"/>
        </w:rPr>
        <w:t>.12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46819">
        <w:rPr>
          <w:b/>
          <w:sz w:val="26"/>
          <w:szCs w:val="26"/>
        </w:rPr>
        <w:t xml:space="preserve"> </w:t>
      </w:r>
      <w:r w:rsidR="00314866">
        <w:rPr>
          <w:b/>
          <w:sz w:val="26"/>
          <w:szCs w:val="26"/>
          <w:u w:val="single"/>
        </w:rPr>
        <w:t>27</w:t>
      </w:r>
      <w:r w:rsidR="00405705">
        <w:rPr>
          <w:b/>
          <w:sz w:val="26"/>
          <w:szCs w:val="26"/>
          <w:u w:val="single"/>
        </w:rPr>
        <w:t>.12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DE7446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lastRenderedPageBreak/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</w:t>
      </w:r>
      <w:proofErr w:type="spellStart"/>
      <w:r w:rsidRPr="009023EC">
        <w:rPr>
          <w:b/>
          <w:sz w:val="26"/>
          <w:szCs w:val="26"/>
        </w:rPr>
        <w:t>Канавинский</w:t>
      </w:r>
      <w:proofErr w:type="spellEnd"/>
      <w:r w:rsidRPr="009023EC">
        <w:rPr>
          <w:b/>
          <w:sz w:val="26"/>
          <w:szCs w:val="26"/>
        </w:rPr>
        <w:t xml:space="preserve"> район, Московский район: 222-22-65.</w:t>
      </w: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C45947" w:rsidRDefault="00C45947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196C71" w:rsidRPr="00196C7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196C71">
        <w:rPr>
          <w:spacing w:val="-3"/>
          <w:sz w:val="26"/>
          <w:szCs w:val="26"/>
        </w:rPr>
      </w:r>
      <w:r w:rsidR="00196C71">
        <w:rPr>
          <w:spacing w:val="-3"/>
          <w:sz w:val="26"/>
          <w:szCs w:val="26"/>
        </w:rPr>
        <w:fldChar w:fldCharType="separate"/>
      </w:r>
      <w:r w:rsidR="00196C7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063B16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FA" w:rsidRDefault="00D02DFA" w:rsidP="00D42863">
      <w:r>
        <w:separator/>
      </w:r>
    </w:p>
  </w:endnote>
  <w:endnote w:type="continuationSeparator" w:id="0">
    <w:p w:rsidR="00D02DFA" w:rsidRDefault="00D02DFA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FA" w:rsidRDefault="00D02DFA" w:rsidP="00D42863">
      <w:r>
        <w:separator/>
      </w:r>
    </w:p>
  </w:footnote>
  <w:footnote w:type="continuationSeparator" w:id="0">
    <w:p w:rsidR="00D02DFA" w:rsidRDefault="00D02DFA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04" w:rsidRDefault="00196C71">
    <w:pPr>
      <w:pStyle w:val="ab"/>
      <w:jc w:val="center"/>
    </w:pPr>
    <w:fldSimple w:instr=" PAGE   \* MERGEFORMAT ">
      <w:r w:rsidR="0026161E">
        <w:rPr>
          <w:noProof/>
        </w:rPr>
        <w:t>2</w:t>
      </w:r>
    </w:fldSimple>
  </w:p>
  <w:p w:rsidR="00601604" w:rsidRDefault="006016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4802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2424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C71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4AA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A9D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161E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E4F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3FC1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C06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35B5"/>
    <w:rsid w:val="00603A7C"/>
    <w:rsid w:val="00604199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4BF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34D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2DFA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7E0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57FD4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4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E660F-26EB-4F99-A62B-45EED05C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7537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50401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9</cp:revision>
  <cp:lastPrinted>2023-11-23T07:01:00Z</cp:lastPrinted>
  <dcterms:created xsi:type="dcterms:W3CDTF">2023-11-21T10:52:00Z</dcterms:created>
  <dcterms:modified xsi:type="dcterms:W3CDTF">2023-11-23T09:51:00Z</dcterms:modified>
</cp:coreProperties>
</file>