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895292" w:rsidRPr="00895292">
        <w:rPr>
          <w:rFonts w:ascii="Times New Roman" w:hAnsi="Times New Roman" w:cs="Times New Roman"/>
          <w:sz w:val="24"/>
          <w:szCs w:val="24"/>
        </w:rPr>
        <w:t>16.11.2023</w:t>
      </w:r>
      <w:r w:rsidR="0051519C" w:rsidRPr="00895292">
        <w:rPr>
          <w:rFonts w:ascii="Times New Roman" w:hAnsi="Times New Roman" w:cs="Times New Roman"/>
          <w:sz w:val="24"/>
          <w:szCs w:val="24"/>
        </w:rPr>
        <w:t xml:space="preserve"> № </w:t>
      </w:r>
      <w:r w:rsidR="00895292" w:rsidRPr="00895292">
        <w:rPr>
          <w:rFonts w:ascii="Times New Roman" w:hAnsi="Times New Roman" w:cs="Times New Roman"/>
          <w:sz w:val="24"/>
          <w:szCs w:val="24"/>
        </w:rPr>
        <w:t>8382</w:t>
      </w:r>
      <w:r w:rsidR="0051519C" w:rsidRPr="00895292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895292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8952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895292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89529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895292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28482F" w:rsidRPr="00895292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 Нижегородская область, </w:t>
      </w:r>
      <w:r w:rsidR="0008387E" w:rsidRPr="00895292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 w:rsidRPr="00895292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895292">
        <w:rPr>
          <w:rFonts w:ascii="Times New Roman" w:hAnsi="Times New Roman" w:cs="Times New Roman"/>
          <w:sz w:val="24"/>
          <w:szCs w:val="24"/>
        </w:rPr>
        <w:t>, ул. </w:t>
      </w:r>
      <w:r w:rsidR="0008387E" w:rsidRPr="00895292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, </w:t>
      </w:r>
      <w:r w:rsidR="0028482F" w:rsidRPr="00895292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B35AE" w:rsidRPr="00895292">
        <w:rPr>
          <w:rFonts w:ascii="Times New Roman" w:hAnsi="Times New Roman" w:cs="Times New Roman"/>
          <w:sz w:val="24"/>
          <w:szCs w:val="24"/>
        </w:rPr>
        <w:t>у</w:t>
      </w:r>
      <w:r w:rsidR="0008387E" w:rsidRPr="00895292">
        <w:rPr>
          <w:rFonts w:ascii="Times New Roman" w:hAnsi="Times New Roman" w:cs="Times New Roman"/>
          <w:sz w:val="24"/>
          <w:szCs w:val="24"/>
        </w:rPr>
        <w:t>ч</w:t>
      </w:r>
      <w:r w:rsidR="0028482F" w:rsidRPr="00895292">
        <w:rPr>
          <w:rFonts w:ascii="Times New Roman" w:hAnsi="Times New Roman" w:cs="Times New Roman"/>
          <w:sz w:val="24"/>
          <w:szCs w:val="24"/>
        </w:rPr>
        <w:t>асток</w:t>
      </w:r>
      <w:r w:rsidR="0008387E" w:rsidRPr="00895292">
        <w:rPr>
          <w:rFonts w:ascii="Times New Roman" w:hAnsi="Times New Roman" w:cs="Times New Roman"/>
          <w:sz w:val="24"/>
          <w:szCs w:val="24"/>
        </w:rPr>
        <w:t xml:space="preserve"> 82</w:t>
      </w:r>
      <w:r w:rsidR="00173FD1" w:rsidRPr="00895292">
        <w:rPr>
          <w:rFonts w:ascii="Times New Roman" w:hAnsi="Times New Roman" w:cs="Times New Roman"/>
          <w:sz w:val="24"/>
          <w:szCs w:val="24"/>
        </w:rPr>
        <w:t>/1</w:t>
      </w:r>
      <w:r w:rsidR="009B35AE" w:rsidRPr="00895292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 w:rsidRPr="00895292">
        <w:rPr>
          <w:rFonts w:ascii="Times New Roman" w:hAnsi="Times New Roman" w:cs="Times New Roman"/>
          <w:sz w:val="24"/>
          <w:szCs w:val="24"/>
        </w:rPr>
        <w:t>24</w:t>
      </w:r>
      <w:r w:rsidR="009B35AE" w:rsidRPr="00895292">
        <w:rPr>
          <w:rFonts w:ascii="Times New Roman" w:hAnsi="Times New Roman" w:cs="Times New Roman"/>
          <w:sz w:val="24"/>
          <w:szCs w:val="24"/>
        </w:rPr>
        <w:t>:00</w:t>
      </w:r>
      <w:r w:rsidR="0008387E" w:rsidRPr="00895292">
        <w:rPr>
          <w:rFonts w:ascii="Times New Roman" w:hAnsi="Times New Roman" w:cs="Times New Roman"/>
          <w:sz w:val="24"/>
          <w:szCs w:val="24"/>
        </w:rPr>
        <w:t>4</w:t>
      </w:r>
      <w:r w:rsidR="009B35AE" w:rsidRPr="00895292">
        <w:rPr>
          <w:rFonts w:ascii="Times New Roman" w:hAnsi="Times New Roman" w:cs="Times New Roman"/>
          <w:sz w:val="24"/>
          <w:szCs w:val="24"/>
        </w:rPr>
        <w:t>0</w:t>
      </w:r>
      <w:r w:rsidR="0008387E" w:rsidRPr="00895292">
        <w:rPr>
          <w:rFonts w:ascii="Times New Roman" w:hAnsi="Times New Roman" w:cs="Times New Roman"/>
          <w:sz w:val="24"/>
          <w:szCs w:val="24"/>
        </w:rPr>
        <w:t>1</w:t>
      </w:r>
      <w:r w:rsidR="009B35AE" w:rsidRPr="00895292">
        <w:rPr>
          <w:rFonts w:ascii="Times New Roman" w:hAnsi="Times New Roman" w:cs="Times New Roman"/>
          <w:sz w:val="24"/>
          <w:szCs w:val="24"/>
        </w:rPr>
        <w:t>0</w:t>
      </w:r>
      <w:r w:rsidR="0008387E" w:rsidRPr="00895292">
        <w:rPr>
          <w:rFonts w:ascii="Times New Roman" w:hAnsi="Times New Roman" w:cs="Times New Roman"/>
          <w:sz w:val="24"/>
          <w:szCs w:val="24"/>
        </w:rPr>
        <w:t>2</w:t>
      </w:r>
      <w:r w:rsidR="009B35AE" w:rsidRPr="00895292">
        <w:rPr>
          <w:rFonts w:ascii="Times New Roman" w:hAnsi="Times New Roman" w:cs="Times New Roman"/>
          <w:sz w:val="24"/>
          <w:szCs w:val="24"/>
        </w:rPr>
        <w:t>:4</w:t>
      </w:r>
      <w:r w:rsidR="00173FD1" w:rsidRPr="00895292">
        <w:rPr>
          <w:rFonts w:ascii="Times New Roman" w:hAnsi="Times New Roman" w:cs="Times New Roman"/>
          <w:sz w:val="24"/>
          <w:szCs w:val="24"/>
        </w:rPr>
        <w:t>20</w:t>
      </w:r>
      <w:r w:rsidR="009B35AE" w:rsidRPr="00895292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 w:rsidRPr="00895292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27" w:rsidRDefault="00C70B27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719F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>земельный участок 82/1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="00D57ECD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D57EC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8F4D3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D57ECD">
        <w:rPr>
          <w:rFonts w:ascii="Times New Roman" w:hAnsi="Times New Roman" w:cs="Times New Roman"/>
          <w:sz w:val="24"/>
          <w:szCs w:val="24"/>
        </w:rPr>
        <w:t>уч</w:t>
      </w:r>
      <w:r w:rsidR="00CC4BAF">
        <w:rPr>
          <w:rFonts w:ascii="Times New Roman" w:hAnsi="Times New Roman" w:cs="Times New Roman"/>
          <w:sz w:val="24"/>
          <w:szCs w:val="24"/>
        </w:rPr>
        <w:t>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C4BAF">
        <w:rPr>
          <w:rFonts w:ascii="Times New Roman" w:hAnsi="Times New Roman" w:cs="Times New Roman"/>
          <w:sz w:val="24"/>
          <w:szCs w:val="24"/>
        </w:rPr>
        <w:t>/1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191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2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2265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22653">
        <w:rPr>
          <w:rFonts w:ascii="Times New Roman" w:hAnsi="Times New Roman" w:cs="Times New Roman"/>
          <w:sz w:val="24"/>
          <w:szCs w:val="24"/>
        </w:rPr>
        <w:t>/1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22653">
        <w:rPr>
          <w:rFonts w:ascii="Times New Roman" w:hAnsi="Times New Roman" w:cs="Times New Roman"/>
          <w:sz w:val="24"/>
          <w:szCs w:val="24"/>
        </w:rPr>
        <w:t>27</w:t>
      </w:r>
      <w:r w:rsidR="00E5186C" w:rsidRPr="00E5186C">
        <w:rPr>
          <w:rFonts w:ascii="Times New Roman" w:hAnsi="Times New Roman" w:cs="Times New Roman"/>
          <w:sz w:val="24"/>
          <w:szCs w:val="24"/>
        </w:rPr>
        <w:t>.</w:t>
      </w:r>
      <w:r w:rsidR="00D57ECD">
        <w:rPr>
          <w:rFonts w:ascii="Times New Roman" w:hAnsi="Times New Roman" w:cs="Times New Roman"/>
          <w:sz w:val="24"/>
          <w:szCs w:val="24"/>
        </w:rPr>
        <w:t>0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.202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Pr="00E5186C">
        <w:rPr>
          <w:rFonts w:ascii="Times New Roman" w:hAnsi="Times New Roman" w:cs="Times New Roman"/>
          <w:sz w:val="24"/>
          <w:szCs w:val="24"/>
        </w:rPr>
        <w:t xml:space="preserve"> градостроительной справки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C22653">
        <w:rPr>
          <w:rFonts w:ascii="Times New Roman" w:hAnsi="Times New Roman" w:cs="Times New Roman"/>
          <w:sz w:val="24"/>
          <w:szCs w:val="24"/>
        </w:rPr>
        <w:t>2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(полностью).</w:t>
      </w:r>
    </w:p>
    <w:p w:rsidR="00C70B27" w:rsidRDefault="00C70B27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3665E9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665E9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Pr="0070138A" w:rsidRDefault="004812F3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697C">
        <w:rPr>
          <w:rFonts w:ascii="Times New Roman" w:hAnsi="Times New Roman" w:cs="Times New Roman"/>
          <w:sz w:val="24"/>
          <w:szCs w:val="24"/>
        </w:rPr>
        <w:t> от других границ земельного участка - не менее 3</w:t>
      </w:r>
      <w:r w:rsidR="00A7697C"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 w:rsidR="00A7697C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FD1B4E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4E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объекта</w:t>
      </w:r>
      <w:r w:rsidR="001B640A">
        <w:rPr>
          <w:rFonts w:ascii="Times New Roman" w:hAnsi="Times New Roman" w:cs="Times New Roman"/>
          <w:sz w:val="24"/>
          <w:szCs w:val="24"/>
        </w:rPr>
        <w:t xml:space="preserve"> сетей водопровода и канализации, находящихся на обслуживан</w:t>
      </w:r>
      <w:proofErr w:type="gramStart"/>
      <w:r w:rsidR="001B640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1B640A">
        <w:rPr>
          <w:rFonts w:ascii="Times New Roman" w:hAnsi="Times New Roman" w:cs="Times New Roman"/>
          <w:sz w:val="24"/>
          <w:szCs w:val="24"/>
        </w:rPr>
        <w:t xml:space="preserve"> «Нижегородский водоканал», нет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B23221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Default="00B23221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</w:t>
      </w:r>
      <w:r w:rsidR="00AB6368">
        <w:rPr>
          <w:rFonts w:ascii="Times New Roman" w:hAnsi="Times New Roman" w:cs="Times New Roman"/>
          <w:sz w:val="24"/>
          <w:szCs w:val="24"/>
        </w:rPr>
        <w:t>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6368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 xml:space="preserve">ет быть избран межпоселковый газопровод высокого давления 1 категории диаметром 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59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 xml:space="preserve">ый от АГРС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«Буревестник» до ГРП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уч-з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«Новинки»,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Нижегородская область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C70B27" w:rsidRDefault="00AB6368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 w:rsidR="00E95264">
        <w:rPr>
          <w:rFonts w:ascii="Times New Roman" w:hAnsi="Times New Roman" w:cs="Times New Roman"/>
          <w:sz w:val="24"/>
          <w:szCs w:val="24"/>
        </w:rPr>
        <w:t>, п. Новинки,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 xml:space="preserve">, 26а. </w:t>
      </w:r>
    </w:p>
    <w:p w:rsidR="00C70B27" w:rsidRPr="00AA232F" w:rsidRDefault="00C70B27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6B13EF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E17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D73E17">
        <w:rPr>
          <w:rFonts w:ascii="Times New Roman" w:hAnsi="Times New Roman" w:cs="Times New Roman"/>
          <w:b/>
          <w:sz w:val="24"/>
          <w:szCs w:val="24"/>
        </w:rPr>
        <w:t>738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3E17">
        <w:rPr>
          <w:rFonts w:ascii="Times New Roman" w:hAnsi="Times New Roman" w:cs="Times New Roman"/>
          <w:b/>
          <w:sz w:val="24"/>
          <w:szCs w:val="24"/>
        </w:rPr>
        <w:t>во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семьдесят </w:t>
      </w:r>
      <w:r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 семьсот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тридцать </w:t>
      </w:r>
      <w:r w:rsidR="00D73E17">
        <w:rPr>
          <w:rFonts w:ascii="Times New Roman" w:hAnsi="Times New Roman" w:cs="Times New Roman"/>
          <w:b/>
          <w:sz w:val="24"/>
          <w:szCs w:val="24"/>
        </w:rPr>
        <w:t>восемь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128/04-1</w:t>
      </w:r>
      <w:r w:rsidR="00D73E1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20 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6B13E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D73E17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D73E17">
        <w:rPr>
          <w:rFonts w:ascii="Times New Roman" w:hAnsi="Times New Roman" w:cs="Times New Roman"/>
          <w:sz w:val="24"/>
          <w:szCs w:val="24"/>
        </w:rPr>
        <w:t>/1</w:t>
      </w:r>
      <w:r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B35A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5AE">
        <w:rPr>
          <w:rFonts w:ascii="Times New Roman" w:hAnsi="Times New Roman" w:cs="Times New Roman"/>
          <w:sz w:val="24"/>
          <w:szCs w:val="24"/>
        </w:rPr>
        <w:t>:4</w:t>
      </w:r>
      <w:r w:rsidR="00D73E17">
        <w:rPr>
          <w:rFonts w:ascii="Times New Roman" w:hAnsi="Times New Roman" w:cs="Times New Roman"/>
          <w:sz w:val="24"/>
          <w:szCs w:val="24"/>
        </w:rPr>
        <w:t>20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1 </w:t>
      </w:r>
      <w:r w:rsidR="00D73E17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кв. м, категория земель – Земли населенных пунктов, Разрешенное </w:t>
      </w:r>
      <w:r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6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E16663">
        <w:rPr>
          <w:rFonts w:ascii="Times New Roman" w:hAnsi="Times New Roman" w:cs="Times New Roman"/>
          <w:b/>
          <w:sz w:val="24"/>
          <w:szCs w:val="24"/>
        </w:rPr>
        <w:t>2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E16663">
        <w:rPr>
          <w:rFonts w:ascii="Times New Roman" w:hAnsi="Times New Roman" w:cs="Times New Roman"/>
          <w:b/>
          <w:sz w:val="24"/>
          <w:szCs w:val="24"/>
        </w:rPr>
        <w:t>4</w:t>
      </w:r>
      <w:r w:rsidR="00D73E17">
        <w:rPr>
          <w:rFonts w:ascii="Times New Roman" w:hAnsi="Times New Roman" w:cs="Times New Roman"/>
          <w:b/>
          <w:sz w:val="24"/>
          <w:szCs w:val="24"/>
        </w:rPr>
        <w:t>2</w:t>
      </w:r>
      <w:r w:rsidR="00E16663"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73E17">
        <w:rPr>
          <w:rFonts w:ascii="Times New Roman" w:hAnsi="Times New Roman" w:cs="Times New Roman"/>
          <w:b/>
          <w:sz w:val="24"/>
          <w:szCs w:val="24"/>
        </w:rPr>
        <w:t>80 738 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восемьдесят 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D73E17">
        <w:rPr>
          <w:rFonts w:ascii="Times New Roman" w:hAnsi="Times New Roman" w:cs="Times New Roman"/>
          <w:b/>
          <w:sz w:val="24"/>
          <w:szCs w:val="24"/>
        </w:rPr>
        <w:t xml:space="preserve"> семьсот тридцать восемь</w:t>
      </w:r>
      <w:r w:rsidR="00D73E17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17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11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311569">
        <w:rPr>
          <w:rFonts w:ascii="Times New Roman" w:hAnsi="Times New Roman" w:cs="Times New Roman"/>
          <w:sz w:val="24"/>
          <w:szCs w:val="24"/>
        </w:rPr>
        <w:t>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17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B75665">
        <w:rPr>
          <w:rFonts w:ascii="Times New Roman" w:hAnsi="Times New Roman" w:cs="Times New Roman"/>
          <w:b/>
          <w:sz w:val="24"/>
          <w:szCs w:val="24"/>
        </w:rPr>
        <w:t>:</w:t>
      </w:r>
      <w:r w:rsidRPr="00B75665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</w:t>
      </w:r>
      <w:r w:rsidR="00B75665" w:rsidRPr="00B75665">
        <w:rPr>
          <w:rFonts w:ascii="Times New Roman" w:hAnsi="Times New Roman" w:cs="Times New Roman"/>
          <w:sz w:val="24"/>
          <w:szCs w:val="24"/>
        </w:rPr>
        <w:t>8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Pr="00B75665">
        <w:rPr>
          <w:rFonts w:ascii="Times New Roman" w:hAnsi="Times New Roman" w:cs="Times New Roman"/>
          <w:sz w:val="24"/>
          <w:szCs w:val="24"/>
        </w:rPr>
        <w:t>.2023.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19.12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1421A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F3" w:rsidRDefault="004812F3" w:rsidP="00414F0A">
      <w:pPr>
        <w:spacing w:after="0" w:line="240" w:lineRule="auto"/>
      </w:pPr>
      <w:r>
        <w:separator/>
      </w:r>
    </w:p>
  </w:endnote>
  <w:endnote w:type="continuationSeparator" w:id="0">
    <w:p w:rsidR="004812F3" w:rsidRDefault="004812F3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F3" w:rsidRDefault="004812F3" w:rsidP="00414F0A">
      <w:pPr>
        <w:spacing w:after="0" w:line="240" w:lineRule="auto"/>
      </w:pPr>
      <w:r>
        <w:separator/>
      </w:r>
    </w:p>
  </w:footnote>
  <w:footnote w:type="continuationSeparator" w:id="0">
    <w:p w:rsidR="004812F3" w:rsidRDefault="004812F3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4812F3" w:rsidRDefault="0036109D">
        <w:pPr>
          <w:pStyle w:val="a3"/>
          <w:jc w:val="center"/>
        </w:pPr>
        <w:fldSimple w:instr=" PAGE   \* MERGEFORMAT ">
          <w:r w:rsidR="00311569">
            <w:rPr>
              <w:noProof/>
            </w:rPr>
            <w:t>5</w:t>
          </w:r>
        </w:fldSimple>
      </w:p>
    </w:sdtContent>
  </w:sdt>
  <w:p w:rsidR="004812F3" w:rsidRDefault="00481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8387E"/>
    <w:rsid w:val="000A1F00"/>
    <w:rsid w:val="000A223E"/>
    <w:rsid w:val="000B4978"/>
    <w:rsid w:val="000D1260"/>
    <w:rsid w:val="000D1C6E"/>
    <w:rsid w:val="000D1D3A"/>
    <w:rsid w:val="000E39A6"/>
    <w:rsid w:val="000E55C5"/>
    <w:rsid w:val="00152084"/>
    <w:rsid w:val="0017054B"/>
    <w:rsid w:val="00173FD1"/>
    <w:rsid w:val="00174CC1"/>
    <w:rsid w:val="00190D47"/>
    <w:rsid w:val="00192088"/>
    <w:rsid w:val="001A2CA4"/>
    <w:rsid w:val="001B640A"/>
    <w:rsid w:val="001C561D"/>
    <w:rsid w:val="001D22B0"/>
    <w:rsid w:val="001D58CB"/>
    <w:rsid w:val="001F11CA"/>
    <w:rsid w:val="00230FF4"/>
    <w:rsid w:val="002311CF"/>
    <w:rsid w:val="002332E4"/>
    <w:rsid w:val="00233EBE"/>
    <w:rsid w:val="00235D89"/>
    <w:rsid w:val="0024445F"/>
    <w:rsid w:val="00261F2C"/>
    <w:rsid w:val="002824AC"/>
    <w:rsid w:val="0028482F"/>
    <w:rsid w:val="0028523C"/>
    <w:rsid w:val="002A2C57"/>
    <w:rsid w:val="002C4C37"/>
    <w:rsid w:val="002C6506"/>
    <w:rsid w:val="002C78DA"/>
    <w:rsid w:val="002E0613"/>
    <w:rsid w:val="00301CF7"/>
    <w:rsid w:val="00301E91"/>
    <w:rsid w:val="00306196"/>
    <w:rsid w:val="00311569"/>
    <w:rsid w:val="0032451F"/>
    <w:rsid w:val="0032658F"/>
    <w:rsid w:val="0034074D"/>
    <w:rsid w:val="003448E5"/>
    <w:rsid w:val="003457B9"/>
    <w:rsid w:val="00346B66"/>
    <w:rsid w:val="0035128B"/>
    <w:rsid w:val="00357CFE"/>
    <w:rsid w:val="0036109D"/>
    <w:rsid w:val="003665E9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22599"/>
    <w:rsid w:val="004310CA"/>
    <w:rsid w:val="00446C2B"/>
    <w:rsid w:val="00446DD4"/>
    <w:rsid w:val="004474C3"/>
    <w:rsid w:val="004652E0"/>
    <w:rsid w:val="00467CA9"/>
    <w:rsid w:val="00473B4B"/>
    <w:rsid w:val="00475BC7"/>
    <w:rsid w:val="004777E3"/>
    <w:rsid w:val="004812F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19F8"/>
    <w:rsid w:val="00573A20"/>
    <w:rsid w:val="005872AD"/>
    <w:rsid w:val="005A2470"/>
    <w:rsid w:val="005A4203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7B78"/>
    <w:rsid w:val="00691C23"/>
    <w:rsid w:val="006B13EF"/>
    <w:rsid w:val="006B16B4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2CFE"/>
    <w:rsid w:val="0082566B"/>
    <w:rsid w:val="008263FE"/>
    <w:rsid w:val="008410C3"/>
    <w:rsid w:val="00841E67"/>
    <w:rsid w:val="008539F1"/>
    <w:rsid w:val="00862C52"/>
    <w:rsid w:val="0088256C"/>
    <w:rsid w:val="00885CB0"/>
    <w:rsid w:val="008930DC"/>
    <w:rsid w:val="00895292"/>
    <w:rsid w:val="008A43DC"/>
    <w:rsid w:val="008D4092"/>
    <w:rsid w:val="008D7BA7"/>
    <w:rsid w:val="008F4D3D"/>
    <w:rsid w:val="008F4DD1"/>
    <w:rsid w:val="00902C90"/>
    <w:rsid w:val="00924E83"/>
    <w:rsid w:val="00941972"/>
    <w:rsid w:val="00960AED"/>
    <w:rsid w:val="00960FD3"/>
    <w:rsid w:val="009663AE"/>
    <w:rsid w:val="009668D9"/>
    <w:rsid w:val="009863E3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67E"/>
    <w:rsid w:val="00A36DAE"/>
    <w:rsid w:val="00A65181"/>
    <w:rsid w:val="00A7697C"/>
    <w:rsid w:val="00A9576D"/>
    <w:rsid w:val="00AA0DCF"/>
    <w:rsid w:val="00AA232F"/>
    <w:rsid w:val="00AA6E48"/>
    <w:rsid w:val="00AB1674"/>
    <w:rsid w:val="00AB3F44"/>
    <w:rsid w:val="00AB6368"/>
    <w:rsid w:val="00AC088D"/>
    <w:rsid w:val="00AF460A"/>
    <w:rsid w:val="00B025F8"/>
    <w:rsid w:val="00B23221"/>
    <w:rsid w:val="00B24DA3"/>
    <w:rsid w:val="00B35AA1"/>
    <w:rsid w:val="00B41BA0"/>
    <w:rsid w:val="00B53550"/>
    <w:rsid w:val="00B6340D"/>
    <w:rsid w:val="00B75665"/>
    <w:rsid w:val="00B941CB"/>
    <w:rsid w:val="00BA7D0A"/>
    <w:rsid w:val="00BB285F"/>
    <w:rsid w:val="00BC1DCC"/>
    <w:rsid w:val="00C01924"/>
    <w:rsid w:val="00C02790"/>
    <w:rsid w:val="00C2139D"/>
    <w:rsid w:val="00C22653"/>
    <w:rsid w:val="00C24608"/>
    <w:rsid w:val="00C25AE4"/>
    <w:rsid w:val="00C32EDD"/>
    <w:rsid w:val="00C33209"/>
    <w:rsid w:val="00C432AB"/>
    <w:rsid w:val="00C50427"/>
    <w:rsid w:val="00C57A7D"/>
    <w:rsid w:val="00C70B27"/>
    <w:rsid w:val="00CA0765"/>
    <w:rsid w:val="00CA4243"/>
    <w:rsid w:val="00CA7A05"/>
    <w:rsid w:val="00CB1F56"/>
    <w:rsid w:val="00CC4BAF"/>
    <w:rsid w:val="00CE14C4"/>
    <w:rsid w:val="00CF0183"/>
    <w:rsid w:val="00CF5470"/>
    <w:rsid w:val="00D20603"/>
    <w:rsid w:val="00D32A9A"/>
    <w:rsid w:val="00D35A2B"/>
    <w:rsid w:val="00D468D3"/>
    <w:rsid w:val="00D472BB"/>
    <w:rsid w:val="00D5752B"/>
    <w:rsid w:val="00D57ECD"/>
    <w:rsid w:val="00D671A1"/>
    <w:rsid w:val="00D73E17"/>
    <w:rsid w:val="00D94A18"/>
    <w:rsid w:val="00D96CF6"/>
    <w:rsid w:val="00DB4952"/>
    <w:rsid w:val="00DB65B0"/>
    <w:rsid w:val="00DC16E3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307F"/>
    <w:rsid w:val="00E737A4"/>
    <w:rsid w:val="00E80D72"/>
    <w:rsid w:val="00E923BD"/>
    <w:rsid w:val="00E95264"/>
    <w:rsid w:val="00EB3205"/>
    <w:rsid w:val="00EB63D9"/>
    <w:rsid w:val="00EC02BB"/>
    <w:rsid w:val="00ED064C"/>
    <w:rsid w:val="00EE1532"/>
    <w:rsid w:val="00EF2AC5"/>
    <w:rsid w:val="00EF4638"/>
    <w:rsid w:val="00F1421A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D0C1D"/>
    <w:rsid w:val="00FD1B4E"/>
    <w:rsid w:val="00FE6BEF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ED07-CC56-4E15-AEB9-D2DF7B31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12</cp:revision>
  <cp:lastPrinted>2023-11-16T10:42:00Z</cp:lastPrinted>
  <dcterms:created xsi:type="dcterms:W3CDTF">2023-08-03T10:39:00Z</dcterms:created>
  <dcterms:modified xsi:type="dcterms:W3CDTF">2023-11-17T07:32:00Z</dcterms:modified>
</cp:coreProperties>
</file>