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CC2812">
        <w:rPr>
          <w:rFonts w:ascii="Times New Roman" w:hAnsi="Times New Roman" w:cs="Times New Roman"/>
          <w:sz w:val="24"/>
          <w:szCs w:val="24"/>
        </w:rPr>
        <w:t>26</w:t>
      </w:r>
      <w:r w:rsidR="0065086E">
        <w:rPr>
          <w:rFonts w:ascii="Times New Roman" w:hAnsi="Times New Roman" w:cs="Times New Roman"/>
          <w:sz w:val="24"/>
          <w:szCs w:val="24"/>
        </w:rPr>
        <w:t>.12</w:t>
      </w:r>
      <w:r w:rsidR="0051519C" w:rsidRPr="004A76F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CC2812">
        <w:rPr>
          <w:rFonts w:ascii="Times New Roman" w:hAnsi="Times New Roman" w:cs="Times New Roman"/>
          <w:sz w:val="24"/>
          <w:szCs w:val="24"/>
        </w:rPr>
        <w:t>9749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</w:t>
      </w:r>
      <w:r w:rsidRPr="009C3E65">
        <w:rPr>
          <w:rFonts w:ascii="Times New Roman" w:hAnsi="Times New Roman" w:cs="Times New Roman"/>
          <w:sz w:val="24"/>
          <w:szCs w:val="24"/>
        </w:rPr>
        <w:t xml:space="preserve">: </w:t>
      </w:r>
      <w:r w:rsidR="004A76FC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r w:rsidRPr="009C3E65">
        <w:rPr>
          <w:rFonts w:ascii="Times New Roman" w:hAnsi="Times New Roman" w:cs="Times New Roman"/>
          <w:sz w:val="24"/>
          <w:szCs w:val="24"/>
        </w:rPr>
        <w:t>город</w:t>
      </w:r>
      <w:r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65086E">
        <w:rPr>
          <w:rFonts w:ascii="Times New Roman" w:hAnsi="Times New Roman" w:cs="Times New Roman"/>
          <w:sz w:val="24"/>
          <w:szCs w:val="24"/>
        </w:rPr>
        <w:t xml:space="preserve"> Автозаводский район, п</w:t>
      </w:r>
      <w:proofErr w:type="gramStart"/>
      <w:r w:rsidR="0065086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5086E">
        <w:rPr>
          <w:rFonts w:ascii="Times New Roman" w:hAnsi="Times New Roman" w:cs="Times New Roman"/>
          <w:sz w:val="24"/>
          <w:szCs w:val="24"/>
        </w:rPr>
        <w:t xml:space="preserve">овое </w:t>
      </w:r>
      <w:proofErr w:type="spellStart"/>
      <w:r w:rsidR="0065086E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65086E">
        <w:rPr>
          <w:rFonts w:ascii="Times New Roman" w:hAnsi="Times New Roman" w:cs="Times New Roman"/>
          <w:sz w:val="24"/>
          <w:szCs w:val="24"/>
        </w:rPr>
        <w:t>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r w:rsidR="00B526CF">
        <w:rPr>
          <w:rFonts w:ascii="Times New Roman" w:hAnsi="Times New Roman" w:cs="Times New Roman"/>
          <w:sz w:val="24"/>
          <w:szCs w:val="24"/>
        </w:rPr>
        <w:t>ул</w:t>
      </w:r>
      <w:r w:rsidR="004A76FC">
        <w:rPr>
          <w:rFonts w:ascii="Times New Roman" w:hAnsi="Times New Roman" w:cs="Times New Roman"/>
          <w:sz w:val="24"/>
          <w:szCs w:val="24"/>
        </w:rPr>
        <w:t>.</w:t>
      </w:r>
      <w:r w:rsidR="00CC2812">
        <w:rPr>
          <w:rFonts w:ascii="Times New Roman" w:hAnsi="Times New Roman" w:cs="Times New Roman"/>
          <w:sz w:val="24"/>
          <w:szCs w:val="24"/>
        </w:rPr>
        <w:t xml:space="preserve"> 25</w:t>
      </w:r>
      <w:r w:rsidR="0065086E">
        <w:rPr>
          <w:rFonts w:ascii="Times New Roman" w:hAnsi="Times New Roman" w:cs="Times New Roman"/>
          <w:sz w:val="24"/>
          <w:szCs w:val="24"/>
        </w:rPr>
        <w:t>-я линия</w:t>
      </w:r>
      <w:r w:rsidR="005A65A5" w:rsidRPr="005A65A5">
        <w:rPr>
          <w:rFonts w:ascii="Times New Roman" w:hAnsi="Times New Roman" w:cs="Times New Roman"/>
          <w:sz w:val="24"/>
          <w:szCs w:val="24"/>
        </w:rPr>
        <w:t>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r w:rsidR="00CC2812">
        <w:rPr>
          <w:rFonts w:ascii="Times New Roman" w:hAnsi="Times New Roman" w:cs="Times New Roman"/>
          <w:sz w:val="24"/>
          <w:szCs w:val="24"/>
        </w:rPr>
        <w:t>у дома 30</w:t>
      </w:r>
      <w:r w:rsidRPr="00F9625A">
        <w:rPr>
          <w:rFonts w:ascii="Times New Roman" w:hAnsi="Times New Roman" w:cs="Times New Roman"/>
          <w:sz w:val="24"/>
          <w:szCs w:val="24"/>
        </w:rPr>
        <w:t xml:space="preserve">, </w:t>
      </w:r>
      <w:r w:rsidR="00CC2812">
        <w:rPr>
          <w:rFonts w:ascii="Times New Roman" w:hAnsi="Times New Roman" w:cs="Times New Roman"/>
          <w:sz w:val="24"/>
          <w:szCs w:val="24"/>
        </w:rPr>
        <w:t xml:space="preserve">кадастровый номер 52:18:0040038:181, </w:t>
      </w:r>
      <w:r w:rsidRPr="00F9625A">
        <w:rPr>
          <w:rFonts w:ascii="Times New Roman" w:hAnsi="Times New Roman" w:cs="Times New Roman"/>
          <w:sz w:val="24"/>
          <w:szCs w:val="24"/>
        </w:rPr>
        <w:t>с видом разрешенного использования: для индивидуального жилищного строительства»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</w:t>
      </w:r>
      <w:r w:rsidR="00CC2812" w:rsidRPr="009C3E65">
        <w:rPr>
          <w:rFonts w:ascii="Times New Roman" w:hAnsi="Times New Roman" w:cs="Times New Roman"/>
          <w:sz w:val="24"/>
          <w:szCs w:val="24"/>
        </w:rPr>
        <w:t xml:space="preserve">: </w:t>
      </w:r>
      <w:r w:rsidR="00CC2812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C2812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CC2812">
        <w:rPr>
          <w:rFonts w:ascii="Times New Roman" w:hAnsi="Times New Roman" w:cs="Times New Roman"/>
          <w:sz w:val="24"/>
          <w:szCs w:val="24"/>
        </w:rPr>
        <w:t xml:space="preserve"> </w:t>
      </w:r>
      <w:r w:rsidR="00CC2812" w:rsidRPr="009C3E65">
        <w:rPr>
          <w:rFonts w:ascii="Times New Roman" w:hAnsi="Times New Roman" w:cs="Times New Roman"/>
          <w:sz w:val="24"/>
          <w:szCs w:val="24"/>
        </w:rPr>
        <w:t>город</w:t>
      </w:r>
      <w:r w:rsidR="00CC2812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CC2812">
        <w:rPr>
          <w:rFonts w:ascii="Times New Roman" w:hAnsi="Times New Roman" w:cs="Times New Roman"/>
          <w:sz w:val="24"/>
          <w:szCs w:val="24"/>
        </w:rPr>
        <w:t xml:space="preserve"> Автозаводский район, п</w:t>
      </w:r>
      <w:proofErr w:type="gramStart"/>
      <w:r w:rsidR="00CC281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C2812">
        <w:rPr>
          <w:rFonts w:ascii="Times New Roman" w:hAnsi="Times New Roman" w:cs="Times New Roman"/>
          <w:sz w:val="24"/>
          <w:szCs w:val="24"/>
        </w:rPr>
        <w:t xml:space="preserve">овое </w:t>
      </w:r>
      <w:proofErr w:type="spellStart"/>
      <w:r w:rsidR="00CC2812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CC2812">
        <w:rPr>
          <w:rFonts w:ascii="Times New Roman" w:hAnsi="Times New Roman" w:cs="Times New Roman"/>
          <w:sz w:val="24"/>
          <w:szCs w:val="24"/>
        </w:rPr>
        <w:t>, ул. 25-я линия</w:t>
      </w:r>
      <w:r w:rsidR="00CC2812" w:rsidRPr="005A65A5">
        <w:rPr>
          <w:rFonts w:ascii="Times New Roman" w:hAnsi="Times New Roman" w:cs="Times New Roman"/>
          <w:sz w:val="24"/>
          <w:szCs w:val="24"/>
        </w:rPr>
        <w:t>,</w:t>
      </w:r>
      <w:r w:rsidR="00CC2812">
        <w:rPr>
          <w:rFonts w:ascii="Times New Roman" w:hAnsi="Times New Roman" w:cs="Times New Roman"/>
          <w:sz w:val="24"/>
          <w:szCs w:val="24"/>
        </w:rPr>
        <w:t xml:space="preserve"> у дома 30</w:t>
      </w:r>
      <w:r w:rsidR="00CC2812" w:rsidRPr="00F9625A">
        <w:rPr>
          <w:rFonts w:ascii="Times New Roman" w:hAnsi="Times New Roman" w:cs="Times New Roman"/>
          <w:sz w:val="24"/>
          <w:szCs w:val="24"/>
        </w:rPr>
        <w:t xml:space="preserve">, </w:t>
      </w:r>
      <w:r w:rsidR="00CC2812">
        <w:rPr>
          <w:rFonts w:ascii="Times New Roman" w:hAnsi="Times New Roman" w:cs="Times New Roman"/>
          <w:sz w:val="24"/>
          <w:szCs w:val="24"/>
        </w:rPr>
        <w:t xml:space="preserve">кадастровый номер 52:18:0040038:181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89737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6857D7" w:rsidRP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CC2812" w:rsidRPr="00CC2812">
        <w:rPr>
          <w:rFonts w:ascii="Times New Roman" w:hAnsi="Times New Roman" w:cs="Times New Roman"/>
        </w:rPr>
        <w:t xml:space="preserve">Российская Федерация, Нижегородская область, город Нижний Новгород, Автозаводский район, п. Новое </w:t>
      </w:r>
      <w:proofErr w:type="spellStart"/>
      <w:r w:rsidR="00CC2812" w:rsidRPr="00CC2812">
        <w:rPr>
          <w:rFonts w:ascii="Times New Roman" w:hAnsi="Times New Roman" w:cs="Times New Roman"/>
        </w:rPr>
        <w:t>Доскино</w:t>
      </w:r>
      <w:proofErr w:type="spellEnd"/>
      <w:r w:rsidR="00CC2812" w:rsidRPr="00CC2812">
        <w:rPr>
          <w:rFonts w:ascii="Times New Roman" w:hAnsi="Times New Roman" w:cs="Times New Roman"/>
        </w:rPr>
        <w:t>, ул. 25-я линия, у дома 30</w:t>
      </w:r>
      <w:r w:rsidR="00E22A5E" w:rsidRPr="00CC2812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CC2812">
        <w:rPr>
          <w:rFonts w:ascii="Times New Roman" w:hAnsi="Times New Roman" w:cs="Times New Roman"/>
          <w:sz w:val="24"/>
          <w:szCs w:val="24"/>
        </w:rPr>
        <w:t>742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CC2812">
        <w:rPr>
          <w:rFonts w:ascii="Times New Roman" w:hAnsi="Times New Roman" w:cs="Times New Roman"/>
          <w:sz w:val="24"/>
          <w:szCs w:val="24"/>
        </w:rPr>
        <w:t>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CC2812">
        <w:rPr>
          <w:rFonts w:ascii="Times New Roman" w:hAnsi="Times New Roman" w:cs="Times New Roman"/>
          <w:sz w:val="24"/>
          <w:szCs w:val="24"/>
        </w:rPr>
        <w:t>52:18:0040038</w:t>
      </w:r>
      <w:r w:rsidR="00E64595" w:rsidRPr="005A65A5">
        <w:rPr>
          <w:rFonts w:ascii="Times New Roman" w:hAnsi="Times New Roman" w:cs="Times New Roman"/>
          <w:sz w:val="24"/>
          <w:szCs w:val="24"/>
        </w:rPr>
        <w:t>:</w:t>
      </w:r>
      <w:r w:rsidR="00CC2812">
        <w:rPr>
          <w:rFonts w:ascii="Times New Roman" w:hAnsi="Times New Roman" w:cs="Times New Roman"/>
          <w:sz w:val="24"/>
          <w:szCs w:val="24"/>
        </w:rPr>
        <w:t>181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</w:t>
      </w:r>
      <w:r w:rsidR="003B0795" w:rsidRP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433651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433651" w:rsidRPr="009C3E65">
        <w:rPr>
          <w:rFonts w:ascii="Times New Roman" w:hAnsi="Times New Roman" w:cs="Times New Roman"/>
          <w:sz w:val="24"/>
          <w:szCs w:val="24"/>
        </w:rPr>
        <w:t>город</w:t>
      </w:r>
      <w:r w:rsidR="00433651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433651">
        <w:rPr>
          <w:rFonts w:ascii="Times New Roman" w:hAnsi="Times New Roman" w:cs="Times New Roman"/>
          <w:sz w:val="24"/>
          <w:szCs w:val="24"/>
        </w:rPr>
        <w:t>,</w:t>
      </w:r>
      <w:r w:rsid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город</w:t>
      </w:r>
      <w:r w:rsidR="003B0795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3B0795">
        <w:rPr>
          <w:rFonts w:ascii="Times New Roman" w:hAnsi="Times New Roman" w:cs="Times New Roman"/>
          <w:sz w:val="24"/>
          <w:szCs w:val="24"/>
        </w:rPr>
        <w:t xml:space="preserve"> Автозаводский район, п</w:t>
      </w:r>
      <w:proofErr w:type="gramStart"/>
      <w:r w:rsidR="003B079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B0795">
        <w:rPr>
          <w:rFonts w:ascii="Times New Roman" w:hAnsi="Times New Roman" w:cs="Times New Roman"/>
          <w:sz w:val="24"/>
          <w:szCs w:val="24"/>
        </w:rPr>
        <w:t xml:space="preserve">овое </w:t>
      </w:r>
      <w:proofErr w:type="spellStart"/>
      <w:r w:rsidR="003B0795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3B0795">
        <w:rPr>
          <w:rFonts w:ascii="Times New Roman" w:hAnsi="Times New Roman" w:cs="Times New Roman"/>
          <w:sz w:val="24"/>
          <w:szCs w:val="24"/>
        </w:rPr>
        <w:t xml:space="preserve">, ул. </w:t>
      </w:r>
      <w:r w:rsidR="009672AF">
        <w:rPr>
          <w:rFonts w:ascii="Times New Roman" w:hAnsi="Times New Roman" w:cs="Times New Roman"/>
          <w:sz w:val="24"/>
          <w:szCs w:val="24"/>
        </w:rPr>
        <w:t>25</w:t>
      </w:r>
      <w:r w:rsidR="003B0795">
        <w:rPr>
          <w:rFonts w:ascii="Times New Roman" w:hAnsi="Times New Roman" w:cs="Times New Roman"/>
          <w:sz w:val="24"/>
          <w:szCs w:val="24"/>
        </w:rPr>
        <w:t>-я линия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="009672AF">
        <w:rPr>
          <w:rFonts w:ascii="Times New Roman" w:hAnsi="Times New Roman" w:cs="Times New Roman"/>
          <w:sz w:val="24"/>
          <w:szCs w:val="24"/>
        </w:rPr>
        <w:t xml:space="preserve"> у дома 30,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9672AF">
        <w:rPr>
          <w:rFonts w:ascii="Times New Roman" w:hAnsi="Times New Roman" w:cs="Times New Roman"/>
          <w:sz w:val="24"/>
          <w:szCs w:val="24"/>
        </w:rPr>
        <w:t>75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3B0795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9672AF">
        <w:rPr>
          <w:rFonts w:ascii="Times New Roman" w:hAnsi="Times New Roman" w:cs="Times New Roman"/>
          <w:sz w:val="24"/>
          <w:szCs w:val="24"/>
        </w:rPr>
        <w:t xml:space="preserve"> дата выдачи 23</w:t>
      </w:r>
      <w:r w:rsidR="003B0795">
        <w:rPr>
          <w:rFonts w:ascii="Times New Roman" w:hAnsi="Times New Roman" w:cs="Times New Roman"/>
          <w:sz w:val="24"/>
          <w:szCs w:val="24"/>
        </w:rPr>
        <w:t>.12.2021</w:t>
      </w:r>
      <w:r w:rsidR="00E64595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</w:t>
      </w:r>
      <w:r w:rsidR="00344FD8">
        <w:rPr>
          <w:rFonts w:ascii="Times New Roman" w:hAnsi="Times New Roman" w:cs="Times New Roman"/>
          <w:sz w:val="24"/>
          <w:szCs w:val="24"/>
        </w:rPr>
        <w:t>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344FD8" w:rsidRDefault="00552395" w:rsidP="00344FD8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 xml:space="preserve">Проект планировки территории </w:t>
      </w:r>
      <w:r w:rsidR="00433651">
        <w:rPr>
          <w:rFonts w:ascii="Times New Roman" w:hAnsi="Times New Roman" w:cs="Times New Roman"/>
          <w:b/>
          <w:sz w:val="24"/>
          <w:szCs w:val="24"/>
        </w:rPr>
        <w:t>и проект межевания</w:t>
      </w:r>
    </w:p>
    <w:p w:rsidR="00344FD8" w:rsidRDefault="00344FD8" w:rsidP="00344FD8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410"/>
        <w:gridCol w:w="1843"/>
        <w:gridCol w:w="1418"/>
      </w:tblGrid>
      <w:tr w:rsidR="00344FD8" w:rsidRPr="00B65709" w:rsidTr="009104C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344FD8" w:rsidRPr="00B65709" w:rsidRDefault="00344FD8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344FD8" w:rsidRPr="00B65709" w:rsidRDefault="00344FD8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="00344FD8" w:rsidRPr="00B65709">
              <w:rPr>
                <w:rFonts w:ascii="Times New Roman" w:hAnsi="Times New Roman" w:cs="Times New Roman"/>
                <w:sz w:val="24"/>
                <w:szCs w:val="24"/>
              </w:rPr>
              <w:t>) 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44FD8" w:rsidRPr="00B65709" w:rsidTr="009104CB">
        <w:trPr>
          <w:trHeight w:val="14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планировки территории, включает проект межевания территории)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улиц Школьная, 24 линия, 30 линия, 22 линия, 32 линия, 20 линия, 33 линия, 18 линия поселка Новое </w:t>
            </w:r>
            <w:proofErr w:type="spellStart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Доскино</w:t>
            </w:r>
            <w:proofErr w:type="spellEnd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 в Автозаводском районе города Нижнего Новгорода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инистерством градостроительной деятельности и развития агломераций Нижегородской области</w:t>
            </w: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353F25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07-02-03/38</w:t>
            </w:r>
          </w:p>
        </w:tc>
      </w:tr>
    </w:tbl>
    <w:p w:rsidR="00344FD8" w:rsidRPr="00B65709" w:rsidRDefault="00344FD8" w:rsidP="00344FD8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B35DF8">
        <w:rPr>
          <w:rFonts w:ascii="Times New Roman" w:eastAsiaTheme="minorHAnsi" w:hAnsi="Times New Roman" w:cs="Times New Roman"/>
          <w:sz w:val="24"/>
          <w:szCs w:val="24"/>
          <w:lang w:eastAsia="en-US"/>
        </w:rPr>
        <w:t>75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основании материалов М 1:500 муниципального картографо-геодезического фонда города Нижн</w:t>
      </w:r>
      <w:r w:rsidR="00B35DF8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Новгорода по состоянию на 09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44FD8" w:rsidRPr="00344FD8">
        <w:rPr>
          <w:rFonts w:ascii="Times New Roman" w:hAnsi="Times New Roman" w:cs="Times New Roman"/>
          <w:sz w:val="24"/>
          <w:szCs w:val="24"/>
        </w:rPr>
        <w:t xml:space="preserve"> </w:t>
      </w:r>
      <w:r w:rsidR="00344FD8">
        <w:rPr>
          <w:rFonts w:ascii="Times New Roman" w:hAnsi="Times New Roman" w:cs="Times New Roman"/>
          <w:sz w:val="24"/>
          <w:szCs w:val="24"/>
        </w:rPr>
        <w:t>содержит информацию о наличии инженерных сетей и градостроительных ограничениях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</w:t>
      </w:r>
      <w:r w:rsidRPr="00AB1674">
        <w:rPr>
          <w:rFonts w:ascii="Times New Roman" w:hAnsi="Times New Roman" w:cs="Times New Roman"/>
          <w:sz w:val="24"/>
          <w:szCs w:val="24"/>
        </w:rPr>
        <w:lastRenderedPageBreak/>
        <w:t>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55239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AC0710"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AC0710">
        <w:rPr>
          <w:rFonts w:ascii="Times New Roman" w:hAnsi="Times New Roman" w:cs="Times New Roman"/>
          <w:sz w:val="24"/>
          <w:szCs w:val="24"/>
        </w:rPr>
        <w:t xml:space="preserve">низкоплотной </w:t>
      </w:r>
      <w:r w:rsidRPr="00AB1674">
        <w:rPr>
          <w:rFonts w:ascii="Times New Roman" w:hAnsi="Times New Roman" w:cs="Times New Roman"/>
          <w:sz w:val="24"/>
          <w:szCs w:val="24"/>
        </w:rPr>
        <w:t>жилой застройки). Градостроительный регламент установлен.</w:t>
      </w:r>
    </w:p>
    <w:p w:rsidR="00433651" w:rsidRPr="00AB1674" w:rsidRDefault="00433651" w:rsidP="004336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8B6569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низкоплотной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жилой застройки), в которой расположен земельный участок: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433651" w:rsidRPr="00567D2E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3A27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205CFB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санитарного разрыва вдоль стандартных маршрутов взлета и посадки воздушных судов (ОА</w:t>
      </w:r>
      <w:r w:rsidR="00F4018F">
        <w:rPr>
          <w:rFonts w:ascii="Times New Roman" w:eastAsiaTheme="minorHAnsi" w:hAnsi="Times New Roman" w:cs="Times New Roman"/>
          <w:sz w:val="24"/>
          <w:szCs w:val="24"/>
          <w:lang w:eastAsia="en-US"/>
        </w:rPr>
        <w:t>О «НАЗ» «Сокол»), зона «А»</w:t>
      </w:r>
      <w:r w:rsidR="004336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866D4" w:rsidRPr="00205CFB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r w:rsidR="00F4018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санитарного разрыва вдоль стандартных маршрутов взлета и посадки воздушных судов (ОАО «Международный аэропорт Нижний Новгоро</w:t>
      </w:r>
      <w:r w:rsidR="00AA6E41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B35DF8">
        <w:rPr>
          <w:rFonts w:ascii="Times New Roman" w:eastAsiaTheme="minorHAnsi" w:hAnsi="Times New Roman" w:cs="Times New Roman"/>
          <w:sz w:val="24"/>
          <w:szCs w:val="24"/>
          <w:lang w:eastAsia="en-US"/>
        </w:rPr>
        <w:t>»), зона «А</w:t>
      </w:r>
      <w:r w:rsidR="00F4018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336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362D4" w:rsidRDefault="00F4018F" w:rsidP="00E362D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зоны инженерной подготовки территории</w:t>
      </w:r>
      <w:r w:rsidR="00433651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FE4AA9">
        <w:rPr>
          <w:rFonts w:ascii="Times New Roman" w:hAnsi="Times New Roman" w:cs="Times New Roman"/>
          <w:sz w:val="24"/>
          <w:szCs w:val="24"/>
        </w:rPr>
        <w:t>.</w:t>
      </w:r>
    </w:p>
    <w:p w:rsidR="00FE4AA9" w:rsidRPr="005D70A8" w:rsidRDefault="00FE4AA9" w:rsidP="00FE4AA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связи с нахождением земельного участка в границах зоны инженерной подготовки территории 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гНН</w:t>
      </w:r>
      <w:proofErr w:type="spellEnd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») технические условия на инженерную подготовку территории при проектировании объектов строительства.</w:t>
      </w:r>
    </w:p>
    <w:p w:rsidR="00FE4AA9" w:rsidRPr="005D70A8" w:rsidRDefault="00FE4AA9" w:rsidP="00FE4AA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</w:t>
      </w:r>
      <w:r w:rsidR="00E76E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города» №163/01-13 от 16.12.2021, сроком действия до 16</w:t>
      </w: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.12.2024:</w:t>
      </w:r>
    </w:p>
    <w:p w:rsidR="00FE4AA9" w:rsidRPr="005D70A8" w:rsidRDefault="00FE4AA9" w:rsidP="00FE4AA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типы и </w:t>
      </w:r>
      <w:r w:rsidRPr="00BA143E"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фундаментов проектируемого сооружения;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</w:t>
      </w:r>
      <w:r>
        <w:rPr>
          <w:rFonts w:ascii="Times New Roman" w:hAnsi="Times New Roman" w:cs="Times New Roman"/>
          <w:sz w:val="24"/>
          <w:szCs w:val="24"/>
        </w:rPr>
        <w:lastRenderedPageBreak/>
        <w:t>и организацию поверхностного стока с представленной территории, а также при необходимости мероприятия по з</w:t>
      </w:r>
      <w:r w:rsidR="00E76ED6">
        <w:rPr>
          <w:rFonts w:ascii="Times New Roman" w:hAnsi="Times New Roman" w:cs="Times New Roman"/>
          <w:sz w:val="24"/>
          <w:szCs w:val="24"/>
        </w:rPr>
        <w:t>ащите территории от подтопления и</w:t>
      </w:r>
      <w:r>
        <w:rPr>
          <w:rFonts w:ascii="Times New Roman" w:hAnsi="Times New Roman" w:cs="Times New Roman"/>
          <w:sz w:val="24"/>
          <w:szCs w:val="24"/>
        </w:rPr>
        <w:t xml:space="preserve"> затопления.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водопонижению).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фундаментов сооружения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Вся предоставляемая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E76ED6" w:rsidRDefault="00E76ED6" w:rsidP="00E76ED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E4AA9" w:rsidRDefault="00E76ED6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4AA9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FE4AA9" w:rsidRDefault="00E76ED6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4AA9">
        <w:rPr>
          <w:rFonts w:ascii="Times New Roman" w:hAnsi="Times New Roman" w:cs="Times New Roman"/>
          <w:sz w:val="24"/>
          <w:szCs w:val="24"/>
        </w:rPr>
        <w:t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FE4AA9" w:rsidRDefault="00E76ED6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4AA9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E4AA9" w:rsidRDefault="00FE4AA9" w:rsidP="00FE4A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E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FE4AA9" w:rsidRDefault="00FE4AA9" w:rsidP="00E362D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5F4" w:rsidRPr="00AA232F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0D33FB">
        <w:rPr>
          <w:rFonts w:ascii="Times New Roman" w:hAnsi="Times New Roman" w:cs="Times New Roman"/>
          <w:bCs/>
          <w:sz w:val="24"/>
          <w:szCs w:val="24"/>
        </w:rPr>
        <w:t>ОО</w:t>
      </w:r>
      <w:r>
        <w:rPr>
          <w:rFonts w:ascii="Times New Roman" w:hAnsi="Times New Roman" w:cs="Times New Roman"/>
          <w:bCs/>
          <w:sz w:val="24"/>
          <w:szCs w:val="24"/>
        </w:rPr>
        <w:t>О </w:t>
      </w:r>
      <w:r w:rsidR="009104CB">
        <w:rPr>
          <w:rFonts w:ascii="Times New Roman" w:hAnsi="Times New Roman" w:cs="Times New Roman"/>
          <w:bCs/>
          <w:sz w:val="24"/>
          <w:szCs w:val="24"/>
        </w:rPr>
        <w:t>«Теплосети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</w:t>
      </w:r>
      <w:r w:rsidR="009104CB">
        <w:rPr>
          <w:rFonts w:ascii="Times New Roman" w:hAnsi="Times New Roman" w:cs="Times New Roman"/>
          <w:sz w:val="24"/>
          <w:szCs w:val="24"/>
        </w:rPr>
        <w:t xml:space="preserve"> отсутствием сети инженерно-технического обеспечения в районе местоположения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3FB" w:rsidRDefault="000D33FB" w:rsidP="000D33F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0D33FB" w:rsidRPr="00A40BD6" w:rsidRDefault="000D33FB" w:rsidP="000D33F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0D33FB" w:rsidRPr="00A40BD6" w:rsidRDefault="000D33FB" w:rsidP="000D33F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0D33FB" w:rsidRPr="00A40BD6" w:rsidRDefault="000D33FB" w:rsidP="000D33F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>.</w:t>
      </w:r>
    </w:p>
    <w:p w:rsidR="00A32803" w:rsidRDefault="00301C51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</w:t>
      </w:r>
      <w:r w:rsidR="009104CB">
        <w:rPr>
          <w:rFonts w:ascii="Times New Roman" w:hAnsi="Times New Roman" w:cs="Times New Roman"/>
          <w:sz w:val="24"/>
          <w:szCs w:val="24"/>
        </w:rPr>
        <w:t>возможн</w:t>
      </w:r>
      <w:r w:rsidR="006A5E56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>точка подключения</w:t>
      </w:r>
      <w:r w:rsidR="00FC662E">
        <w:rPr>
          <w:rFonts w:ascii="Times New Roman" w:hAnsi="Times New Roman" w:cs="Times New Roman"/>
          <w:sz w:val="24"/>
          <w:szCs w:val="24"/>
        </w:rPr>
        <w:t xml:space="preserve">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C66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водоснабжения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 w:rsidR="00F12226">
        <w:rPr>
          <w:rFonts w:ascii="Times New Roman" w:hAnsi="Times New Roman" w:cs="Times New Roman"/>
          <w:sz w:val="24"/>
          <w:szCs w:val="24"/>
        </w:rPr>
        <w:lastRenderedPageBreak/>
        <w:t xml:space="preserve">тупиковая водопроводная линия Д-500мм, идущая на </w:t>
      </w:r>
      <w:proofErr w:type="spellStart"/>
      <w:r w:rsidR="00F12226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F122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12226">
        <w:rPr>
          <w:rFonts w:ascii="Times New Roman" w:hAnsi="Times New Roman" w:cs="Times New Roman"/>
          <w:sz w:val="24"/>
          <w:szCs w:val="24"/>
        </w:rPr>
        <w:t>оскино</w:t>
      </w:r>
      <w:proofErr w:type="spellEnd"/>
      <w:r w:rsidR="00F12226">
        <w:rPr>
          <w:rFonts w:ascii="Times New Roman" w:hAnsi="Times New Roman" w:cs="Times New Roman"/>
          <w:sz w:val="24"/>
          <w:szCs w:val="24"/>
        </w:rPr>
        <w:t>.</w:t>
      </w:r>
    </w:p>
    <w:p w:rsidR="00F12226" w:rsidRPr="00A32803" w:rsidRDefault="00F12226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505F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водоотведения – канализационная линия Д=315мм, идущая на КНС «Совхоз»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ахтина, 10а.</w:t>
      </w:r>
    </w:p>
    <w:p w:rsidR="00AA232F" w:rsidRPr="00AA232F" w:rsidRDefault="00FC662E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</w:t>
      </w:r>
      <w:r w:rsidR="00300D6E">
        <w:rPr>
          <w:rFonts w:ascii="Times New Roman" w:hAnsi="Times New Roman" w:cs="Times New Roman"/>
          <w:sz w:val="24"/>
          <w:szCs w:val="24"/>
        </w:rPr>
        <w:t xml:space="preserve"> правообладатель земельного участка может обратиться в АО «Нижегородский водоканал»</w:t>
      </w:r>
      <w:r w:rsidR="00A32803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655A2D"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="00EE0CAF">
        <w:rPr>
          <w:rFonts w:ascii="Times New Roman" w:hAnsi="Times New Roman" w:cs="Times New Roman"/>
          <w:sz w:val="24"/>
          <w:szCs w:val="24"/>
        </w:rPr>
        <w:t xml:space="preserve"> (МКУ «УИЗТ </w:t>
      </w:r>
      <w:proofErr w:type="spellStart"/>
      <w:r w:rsidR="00EE0CAF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EE0CAF">
        <w:rPr>
          <w:rFonts w:ascii="Times New Roman" w:hAnsi="Times New Roman" w:cs="Times New Roman"/>
          <w:sz w:val="24"/>
          <w:szCs w:val="24"/>
        </w:rPr>
        <w:t>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0D33FB" w:rsidRPr="005D70A8" w:rsidRDefault="000D33FB" w:rsidP="000D33F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A8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D70A8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D70A8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5E2FD3"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C55597" w:rsidRPr="00AA232F" w:rsidRDefault="00C55597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среднего давления диаметром 159 мм, проложенный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 Линия.</w:t>
      </w:r>
    </w:p>
    <w:p w:rsidR="00B7186C" w:rsidRPr="00EE7B19" w:rsidRDefault="00AA232F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B7186C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86C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C96DAD" w:rsidRPr="00B7186C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C96DAD" w:rsidRPr="00B7186C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C96DAD" w:rsidRPr="00B7186C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F505F4" w:rsidRPr="005B3D59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F12226" w:rsidRPr="00F12226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68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AB636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6368">
        <w:rPr>
          <w:rFonts w:ascii="Times New Roman" w:hAnsi="Times New Roman" w:cs="Times New Roman"/>
          <w:sz w:val="24"/>
          <w:szCs w:val="24"/>
        </w:rPr>
        <w:t xml:space="preserve">» требуется строительство ВОЛС </w:t>
      </w:r>
      <w:r>
        <w:rPr>
          <w:rFonts w:ascii="Times New Roman" w:hAnsi="Times New Roman" w:cs="Times New Roman"/>
          <w:sz w:val="24"/>
          <w:szCs w:val="24"/>
        </w:rPr>
        <w:t>по существующим и проектируемым инженерным соор</w:t>
      </w:r>
      <w:r w:rsidR="000D33FB">
        <w:rPr>
          <w:rFonts w:ascii="Times New Roman" w:hAnsi="Times New Roman" w:cs="Times New Roman"/>
          <w:sz w:val="24"/>
          <w:szCs w:val="24"/>
        </w:rPr>
        <w:t xml:space="preserve">ужениям связи протяженностью 520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6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226" w:rsidRPr="005B3D59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lastRenderedPageBreak/>
        <w:t>Срок, в течение которого правообладатель земельного участка может обратиться в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 – 3 месяца.</w:t>
      </w:r>
    </w:p>
    <w:p w:rsidR="00F12226" w:rsidRPr="005B3D59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597">
        <w:rPr>
          <w:rFonts w:ascii="Times New Roman" w:hAnsi="Times New Roman" w:cs="Times New Roman"/>
          <w:b/>
          <w:sz w:val="24"/>
          <w:szCs w:val="24"/>
        </w:rPr>
        <w:t>320</w:t>
      </w:r>
      <w:r w:rsidR="00C55597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AD2">
        <w:rPr>
          <w:rFonts w:ascii="Times New Roman" w:hAnsi="Times New Roman" w:cs="Times New Roman"/>
          <w:b/>
          <w:sz w:val="24"/>
          <w:szCs w:val="24"/>
        </w:rPr>
        <w:t>729 294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AB1AD2">
        <w:rPr>
          <w:rFonts w:ascii="Times New Roman" w:hAnsi="Times New Roman" w:cs="Times New Roman"/>
          <w:b/>
          <w:sz w:val="24"/>
          <w:szCs w:val="24"/>
        </w:rPr>
        <w:t>семьсот двадцать девять тысяч двести девяносто четыре) рубля 84</w:t>
      </w:r>
      <w:r w:rsidR="00282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AD2">
        <w:rPr>
          <w:rFonts w:ascii="Times New Roman" w:hAnsi="Times New Roman" w:cs="Times New Roman"/>
          <w:b/>
          <w:sz w:val="24"/>
          <w:szCs w:val="24"/>
        </w:rPr>
        <w:t>копейки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Default="00605685" w:rsidP="00B13A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36F">
        <w:rPr>
          <w:rFonts w:ascii="Times New Roman" w:hAnsi="Times New Roman" w:cs="Times New Roman"/>
          <w:sz w:val="24"/>
          <w:szCs w:val="24"/>
        </w:rPr>
        <w:t xml:space="preserve">об оценке </w:t>
      </w:r>
      <w:r w:rsidR="006A5E56">
        <w:rPr>
          <w:rFonts w:ascii="Times New Roman" w:hAnsi="Times New Roman" w:cs="Times New Roman"/>
          <w:bCs/>
          <w:sz w:val="24"/>
          <w:szCs w:val="24"/>
        </w:rPr>
        <w:t xml:space="preserve">от 06.09.2023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AB1AD2">
        <w:rPr>
          <w:rFonts w:ascii="Times New Roman" w:hAnsi="Times New Roman" w:cs="Times New Roman"/>
          <w:bCs/>
          <w:sz w:val="24"/>
          <w:szCs w:val="24"/>
        </w:rPr>
        <w:t>170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 w:rsidR="0028236F">
        <w:rPr>
          <w:rFonts w:ascii="Times New Roman" w:hAnsi="Times New Roman" w:cs="Times New Roman"/>
          <w:bCs/>
          <w:sz w:val="24"/>
          <w:szCs w:val="24"/>
        </w:rPr>
        <w:t xml:space="preserve">рыночной стоимости земельного участка, общей </w:t>
      </w:r>
      <w:r w:rsidR="00EE4C6E">
        <w:rPr>
          <w:rFonts w:ascii="Times New Roman" w:hAnsi="Times New Roman" w:cs="Times New Roman"/>
          <w:sz w:val="24"/>
          <w:szCs w:val="24"/>
        </w:rPr>
        <w:t>площадью 742</w:t>
      </w:r>
      <w:r w:rsidR="009F6AF1">
        <w:rPr>
          <w:rFonts w:ascii="Times New Roman" w:hAnsi="Times New Roman" w:cs="Times New Roman"/>
          <w:sz w:val="24"/>
          <w:szCs w:val="24"/>
        </w:rPr>
        <w:t xml:space="preserve"> кв. м</w:t>
      </w:r>
      <w:r w:rsidR="00EB2617">
        <w:rPr>
          <w:rFonts w:ascii="Times New Roman" w:hAnsi="Times New Roman" w:cs="Times New Roman"/>
          <w:sz w:val="24"/>
          <w:szCs w:val="24"/>
        </w:rPr>
        <w:t>.</w:t>
      </w:r>
      <w:r w:rsidR="009F6AF1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</w:t>
      </w:r>
      <w:r w:rsidR="0028236F">
        <w:rPr>
          <w:rFonts w:ascii="Times New Roman" w:hAnsi="Times New Roman" w:cs="Times New Roman"/>
          <w:sz w:val="24"/>
          <w:szCs w:val="24"/>
        </w:rPr>
        <w:t>разрешенное</w:t>
      </w:r>
      <w:r w:rsidR="009F6AF1">
        <w:rPr>
          <w:rFonts w:ascii="Times New Roman" w:hAnsi="Times New Roman" w:cs="Times New Roman"/>
          <w:sz w:val="24"/>
          <w:szCs w:val="24"/>
        </w:rPr>
        <w:t xml:space="preserve"> </w:t>
      </w:r>
      <w:r w:rsidR="009F6AF1"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 w:rsidR="00D77532">
        <w:rPr>
          <w:rFonts w:ascii="Times New Roman" w:hAnsi="Times New Roman" w:cs="Times New Roman"/>
          <w:sz w:val="24"/>
          <w:szCs w:val="24"/>
        </w:rPr>
        <w:t>е</w:t>
      </w:r>
      <w:r w:rsidR="009F6AF1" w:rsidRPr="00BB56E3">
        <w:rPr>
          <w:rFonts w:ascii="Times New Roman" w:hAnsi="Times New Roman" w:cs="Times New Roman"/>
          <w:sz w:val="24"/>
          <w:szCs w:val="24"/>
        </w:rPr>
        <w:t xml:space="preserve">: </w:t>
      </w:r>
      <w:r w:rsidR="009F6AF1">
        <w:rPr>
          <w:rFonts w:ascii="Times New Roman" w:hAnsi="Times New Roman" w:cs="Times New Roman"/>
          <w:sz w:val="24"/>
          <w:szCs w:val="24"/>
        </w:rPr>
        <w:t>д</w:t>
      </w:r>
      <w:r w:rsidR="009F6AF1"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6AF1" w:rsidRPr="00BB56E3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EE4C6E">
        <w:rPr>
          <w:rFonts w:ascii="Times New Roman" w:hAnsi="Times New Roman" w:cs="Times New Roman"/>
          <w:sz w:val="24"/>
          <w:szCs w:val="24"/>
        </w:rPr>
        <w:t>52:18:0040038</w:t>
      </w:r>
      <w:r w:rsidR="00F97261" w:rsidRPr="005A65A5">
        <w:rPr>
          <w:rFonts w:ascii="Times New Roman" w:hAnsi="Times New Roman" w:cs="Times New Roman"/>
          <w:sz w:val="24"/>
          <w:szCs w:val="24"/>
        </w:rPr>
        <w:t>:</w:t>
      </w:r>
      <w:r w:rsidR="00EE4C6E">
        <w:rPr>
          <w:rFonts w:ascii="Times New Roman" w:hAnsi="Times New Roman" w:cs="Times New Roman"/>
          <w:sz w:val="24"/>
          <w:szCs w:val="24"/>
        </w:rPr>
        <w:t>181</w:t>
      </w:r>
      <w:r w:rsidR="00157754">
        <w:rPr>
          <w:rFonts w:ascii="Times New Roman" w:hAnsi="Times New Roman" w:cs="Times New Roman"/>
          <w:sz w:val="24"/>
          <w:szCs w:val="24"/>
        </w:rPr>
        <w:t>,</w:t>
      </w:r>
      <w:r w:rsidR="00D77532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B13A42">
        <w:rPr>
          <w:rFonts w:ascii="Times New Roman" w:hAnsi="Times New Roman" w:cs="Times New Roman"/>
          <w:bCs/>
          <w:sz w:val="24"/>
          <w:szCs w:val="24"/>
        </w:rPr>
        <w:t>: Российская Федерация,</w:t>
      </w:r>
      <w:r w:rsidR="00157754">
        <w:rPr>
          <w:rFonts w:ascii="Times New Roman" w:hAnsi="Times New Roman" w:cs="Times New Roman"/>
          <w:bCs/>
          <w:sz w:val="24"/>
          <w:szCs w:val="24"/>
        </w:rPr>
        <w:t xml:space="preserve"> Нижегородская область, </w:t>
      </w:r>
      <w:r w:rsidR="00F505F4">
        <w:rPr>
          <w:rFonts w:ascii="Times New Roman" w:hAnsi="Times New Roman" w:cs="Times New Roman"/>
          <w:bCs/>
          <w:sz w:val="24"/>
          <w:szCs w:val="24"/>
        </w:rPr>
        <w:t xml:space="preserve">город Нижний Новгород, </w:t>
      </w:r>
      <w:r w:rsidR="00D77532">
        <w:rPr>
          <w:rFonts w:ascii="Times New Roman" w:hAnsi="Times New Roman" w:cs="Times New Roman"/>
          <w:sz w:val="24"/>
          <w:szCs w:val="24"/>
        </w:rPr>
        <w:t>Автозаводски</w:t>
      </w:r>
      <w:r w:rsidR="00EE4C6E">
        <w:rPr>
          <w:rFonts w:ascii="Times New Roman" w:hAnsi="Times New Roman" w:cs="Times New Roman"/>
          <w:sz w:val="24"/>
          <w:szCs w:val="24"/>
        </w:rPr>
        <w:t xml:space="preserve">й район, п.Новое </w:t>
      </w:r>
      <w:proofErr w:type="spellStart"/>
      <w:r w:rsidR="00EE4C6E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EE4C6E">
        <w:rPr>
          <w:rFonts w:ascii="Times New Roman" w:hAnsi="Times New Roman" w:cs="Times New Roman"/>
          <w:sz w:val="24"/>
          <w:szCs w:val="24"/>
        </w:rPr>
        <w:t>, ул. 25</w:t>
      </w:r>
      <w:r w:rsidR="00D77532">
        <w:rPr>
          <w:rFonts w:ascii="Times New Roman" w:hAnsi="Times New Roman" w:cs="Times New Roman"/>
          <w:sz w:val="24"/>
          <w:szCs w:val="24"/>
        </w:rPr>
        <w:t>-я линия</w:t>
      </w:r>
      <w:r w:rsidR="00B13A42">
        <w:rPr>
          <w:rFonts w:ascii="Times New Roman" w:hAnsi="Times New Roman" w:cs="Times New Roman"/>
          <w:sz w:val="24"/>
          <w:szCs w:val="24"/>
        </w:rPr>
        <w:t xml:space="preserve">, </w:t>
      </w:r>
      <w:r w:rsidR="00EE4C6E">
        <w:rPr>
          <w:rFonts w:ascii="Times New Roman" w:hAnsi="Times New Roman" w:cs="Times New Roman"/>
          <w:sz w:val="24"/>
          <w:szCs w:val="24"/>
        </w:rPr>
        <w:t xml:space="preserve">у дома 30,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D77532">
        <w:rPr>
          <w:rFonts w:ascii="Times New Roman" w:hAnsi="Times New Roman" w:cs="Times New Roman"/>
          <w:sz w:val="24"/>
          <w:szCs w:val="24"/>
        </w:rPr>
        <w:t>ООО «Консалтинг-Спект</w:t>
      </w:r>
      <w:r w:rsidR="005A0039">
        <w:rPr>
          <w:rFonts w:ascii="Times New Roman" w:hAnsi="Times New Roman" w:cs="Times New Roman"/>
          <w:sz w:val="24"/>
          <w:szCs w:val="24"/>
        </w:rPr>
        <w:t>р</w:t>
      </w:r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353F25">
        <w:rPr>
          <w:rFonts w:ascii="Times New Roman" w:hAnsi="Times New Roman" w:cs="Times New Roman"/>
          <w:b/>
          <w:sz w:val="24"/>
          <w:szCs w:val="24"/>
        </w:rPr>
        <w:t>21 8</w:t>
      </w:r>
      <w:r w:rsidR="00D77532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194A58">
        <w:rPr>
          <w:rFonts w:ascii="Times New Roman" w:hAnsi="Times New Roman" w:cs="Times New Roman"/>
          <w:b/>
          <w:sz w:val="24"/>
          <w:szCs w:val="24"/>
        </w:rPr>
        <w:t>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1363DE" w:rsidRPr="001363DE">
        <w:rPr>
          <w:rFonts w:ascii="Times New Roman" w:hAnsi="Times New Roman" w:cs="Times New Roman"/>
          <w:sz w:val="24"/>
          <w:szCs w:val="24"/>
        </w:rPr>
        <w:t xml:space="preserve"> </w:t>
      </w:r>
      <w:r w:rsidR="001363DE" w:rsidRPr="001363DE">
        <w:rPr>
          <w:rFonts w:ascii="Times New Roman" w:hAnsi="Times New Roman" w:cs="Times New Roman"/>
          <w:b/>
          <w:sz w:val="24"/>
          <w:szCs w:val="24"/>
        </w:rPr>
        <w:t>364 647</w:t>
      </w:r>
      <w:r w:rsidR="00353F25">
        <w:rPr>
          <w:rFonts w:ascii="Times New Roman" w:hAnsi="Times New Roman" w:cs="Times New Roman"/>
          <w:b/>
          <w:sz w:val="24"/>
          <w:szCs w:val="24"/>
        </w:rPr>
        <w:t> </w:t>
      </w:r>
      <w:r w:rsidR="00353F2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1363DE">
        <w:rPr>
          <w:rFonts w:ascii="Times New Roman" w:hAnsi="Times New Roman" w:cs="Times New Roman"/>
          <w:b/>
          <w:sz w:val="24"/>
          <w:szCs w:val="24"/>
        </w:rPr>
        <w:t>триста шестьдесят четыре тысячи шестьсот сорок семь</w:t>
      </w:r>
      <w:r w:rsidR="00F50C8F">
        <w:rPr>
          <w:rFonts w:ascii="Times New Roman" w:hAnsi="Times New Roman" w:cs="Times New Roman"/>
          <w:b/>
          <w:sz w:val="24"/>
          <w:szCs w:val="24"/>
        </w:rPr>
        <w:t>) рублей</w:t>
      </w:r>
      <w:r w:rsidR="0032702A">
        <w:rPr>
          <w:rFonts w:ascii="Times New Roman" w:hAnsi="Times New Roman" w:cs="Times New Roman"/>
          <w:b/>
          <w:sz w:val="24"/>
          <w:szCs w:val="24"/>
        </w:rPr>
        <w:t xml:space="preserve"> 42 копейки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53F25">
        <w:rPr>
          <w:rFonts w:ascii="Times New Roman" w:hAnsi="Times New Roman" w:cs="Times New Roman"/>
          <w:sz w:val="24"/>
          <w:szCs w:val="24"/>
        </w:rPr>
        <w:t>12.01.2024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4061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53F25">
        <w:rPr>
          <w:rFonts w:ascii="Times New Roman" w:hAnsi="Times New Roman" w:cs="Times New Roman"/>
          <w:sz w:val="24"/>
          <w:szCs w:val="24"/>
        </w:rPr>
        <w:t>13.02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53F25">
        <w:rPr>
          <w:rFonts w:ascii="Times New Roman" w:hAnsi="Times New Roman" w:cs="Times New Roman"/>
          <w:sz w:val="24"/>
          <w:szCs w:val="24"/>
        </w:rPr>
        <w:t>14.02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353F25">
        <w:rPr>
          <w:rFonts w:ascii="Times New Roman" w:hAnsi="Times New Roman" w:cs="Times New Roman"/>
          <w:sz w:val="24"/>
          <w:szCs w:val="24"/>
        </w:rPr>
        <w:t>15.02</w:t>
      </w:r>
      <w:r w:rsidR="003A2746">
        <w:rPr>
          <w:rFonts w:ascii="Times New Roman" w:hAnsi="Times New Roman" w:cs="Times New Roman"/>
          <w:sz w:val="24"/>
          <w:szCs w:val="24"/>
        </w:rPr>
        <w:t xml:space="preserve">.2024  </w:t>
      </w:r>
      <w:r w:rsidRPr="001D52C9">
        <w:rPr>
          <w:rFonts w:ascii="Times New Roman" w:hAnsi="Times New Roman" w:cs="Times New Roman"/>
          <w:sz w:val="24"/>
          <w:szCs w:val="24"/>
        </w:rPr>
        <w:t>в 1</w:t>
      </w:r>
      <w:r w:rsidR="00353F25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</w:t>
      </w:r>
      <w:r w:rsidRPr="00801D58">
        <w:rPr>
          <w:rFonts w:ascii="Times New Roman" w:hAnsi="Times New Roman" w:cs="Times New Roman"/>
          <w:sz w:val="24"/>
          <w:szCs w:val="24"/>
        </w:rPr>
        <w:lastRenderedPageBreak/>
        <w:t>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lastRenderedPageBreak/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8F" w:rsidRDefault="00F50C8F" w:rsidP="00414F0A">
      <w:pPr>
        <w:spacing w:after="0" w:line="240" w:lineRule="auto"/>
      </w:pPr>
      <w:r>
        <w:separator/>
      </w:r>
    </w:p>
  </w:endnote>
  <w:endnote w:type="continuationSeparator" w:id="0">
    <w:p w:rsidR="00F50C8F" w:rsidRDefault="00F50C8F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8F" w:rsidRDefault="00F50C8F" w:rsidP="00414F0A">
      <w:pPr>
        <w:spacing w:after="0" w:line="240" w:lineRule="auto"/>
      </w:pPr>
      <w:r>
        <w:separator/>
      </w:r>
    </w:p>
  </w:footnote>
  <w:footnote w:type="continuationSeparator" w:id="0">
    <w:p w:rsidR="00F50C8F" w:rsidRDefault="00F50C8F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F50C8F" w:rsidRDefault="003A2A62">
        <w:pPr>
          <w:pStyle w:val="a3"/>
          <w:jc w:val="center"/>
        </w:pPr>
        <w:fldSimple w:instr=" PAGE   \* MERGEFORMAT ">
          <w:r w:rsidR="005D4061">
            <w:rPr>
              <w:noProof/>
            </w:rPr>
            <w:t>7</w:t>
          </w:r>
        </w:fldSimple>
      </w:p>
    </w:sdtContent>
  </w:sdt>
  <w:p w:rsidR="00F50C8F" w:rsidRDefault="00F50C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674C5DDA"/>
    <w:lvl w:ilvl="0" w:tplc="CCAA174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062D"/>
    <w:rsid w:val="0003088B"/>
    <w:rsid w:val="0003509E"/>
    <w:rsid w:val="00035379"/>
    <w:rsid w:val="000573E3"/>
    <w:rsid w:val="000736E4"/>
    <w:rsid w:val="000972B7"/>
    <w:rsid w:val="000A1F00"/>
    <w:rsid w:val="000A223E"/>
    <w:rsid w:val="000B4978"/>
    <w:rsid w:val="000C20B9"/>
    <w:rsid w:val="000D1260"/>
    <w:rsid w:val="000D33FB"/>
    <w:rsid w:val="000E39A6"/>
    <w:rsid w:val="000E411D"/>
    <w:rsid w:val="000F51B8"/>
    <w:rsid w:val="00102894"/>
    <w:rsid w:val="00107F88"/>
    <w:rsid w:val="001363DE"/>
    <w:rsid w:val="00152084"/>
    <w:rsid w:val="00157754"/>
    <w:rsid w:val="0017054B"/>
    <w:rsid w:val="00174CC1"/>
    <w:rsid w:val="00190D47"/>
    <w:rsid w:val="00192088"/>
    <w:rsid w:val="00194A58"/>
    <w:rsid w:val="001A5B63"/>
    <w:rsid w:val="001A6376"/>
    <w:rsid w:val="001D22B0"/>
    <w:rsid w:val="001D352F"/>
    <w:rsid w:val="001D52C9"/>
    <w:rsid w:val="001D58CB"/>
    <w:rsid w:val="001E664D"/>
    <w:rsid w:val="001F11CA"/>
    <w:rsid w:val="001F3FDE"/>
    <w:rsid w:val="002047FA"/>
    <w:rsid w:val="00227B20"/>
    <w:rsid w:val="00230FF4"/>
    <w:rsid w:val="002311CF"/>
    <w:rsid w:val="00233EBE"/>
    <w:rsid w:val="002400EA"/>
    <w:rsid w:val="00261F2C"/>
    <w:rsid w:val="00274C06"/>
    <w:rsid w:val="0028236F"/>
    <w:rsid w:val="0028523C"/>
    <w:rsid w:val="00285C54"/>
    <w:rsid w:val="002C6506"/>
    <w:rsid w:val="002C78DA"/>
    <w:rsid w:val="002E0613"/>
    <w:rsid w:val="00300D6E"/>
    <w:rsid w:val="00301C51"/>
    <w:rsid w:val="00301CF7"/>
    <w:rsid w:val="00301E91"/>
    <w:rsid w:val="00306196"/>
    <w:rsid w:val="00313AB2"/>
    <w:rsid w:val="00315821"/>
    <w:rsid w:val="0032658F"/>
    <w:rsid w:val="0032702A"/>
    <w:rsid w:val="00344FD8"/>
    <w:rsid w:val="003457B9"/>
    <w:rsid w:val="0035128B"/>
    <w:rsid w:val="00353F25"/>
    <w:rsid w:val="00370D68"/>
    <w:rsid w:val="00391983"/>
    <w:rsid w:val="00397BE2"/>
    <w:rsid w:val="003A2746"/>
    <w:rsid w:val="003A2A62"/>
    <w:rsid w:val="003A3360"/>
    <w:rsid w:val="003B0795"/>
    <w:rsid w:val="003B646A"/>
    <w:rsid w:val="003B78B0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33651"/>
    <w:rsid w:val="00446C2B"/>
    <w:rsid w:val="00446DD4"/>
    <w:rsid w:val="004474C3"/>
    <w:rsid w:val="004652E0"/>
    <w:rsid w:val="0047451F"/>
    <w:rsid w:val="00475BC7"/>
    <w:rsid w:val="004764DD"/>
    <w:rsid w:val="004777E3"/>
    <w:rsid w:val="004A5DCE"/>
    <w:rsid w:val="004A76FC"/>
    <w:rsid w:val="004B19D3"/>
    <w:rsid w:val="004B24F3"/>
    <w:rsid w:val="004C05B9"/>
    <w:rsid w:val="004F0138"/>
    <w:rsid w:val="004F093D"/>
    <w:rsid w:val="004F32E0"/>
    <w:rsid w:val="004F471E"/>
    <w:rsid w:val="0051519C"/>
    <w:rsid w:val="00534453"/>
    <w:rsid w:val="0054383B"/>
    <w:rsid w:val="00552395"/>
    <w:rsid w:val="0056028D"/>
    <w:rsid w:val="00560C94"/>
    <w:rsid w:val="00562DF8"/>
    <w:rsid w:val="00567D2E"/>
    <w:rsid w:val="00573A20"/>
    <w:rsid w:val="005872AD"/>
    <w:rsid w:val="005A0039"/>
    <w:rsid w:val="005A2470"/>
    <w:rsid w:val="005A4DBA"/>
    <w:rsid w:val="005A65A5"/>
    <w:rsid w:val="005A7766"/>
    <w:rsid w:val="005B07E3"/>
    <w:rsid w:val="005B6745"/>
    <w:rsid w:val="005D16E4"/>
    <w:rsid w:val="005D4061"/>
    <w:rsid w:val="005E2FD3"/>
    <w:rsid w:val="005E55A8"/>
    <w:rsid w:val="005F1211"/>
    <w:rsid w:val="005F6F3F"/>
    <w:rsid w:val="006047D7"/>
    <w:rsid w:val="00605181"/>
    <w:rsid w:val="00605685"/>
    <w:rsid w:val="006149F4"/>
    <w:rsid w:val="00620BE5"/>
    <w:rsid w:val="006316E2"/>
    <w:rsid w:val="00640FA3"/>
    <w:rsid w:val="0065086E"/>
    <w:rsid w:val="00655A2D"/>
    <w:rsid w:val="006857D7"/>
    <w:rsid w:val="00691C23"/>
    <w:rsid w:val="006A49BD"/>
    <w:rsid w:val="006A5E56"/>
    <w:rsid w:val="006B01CC"/>
    <w:rsid w:val="006E0587"/>
    <w:rsid w:val="006E14DD"/>
    <w:rsid w:val="006E7A70"/>
    <w:rsid w:val="006F1366"/>
    <w:rsid w:val="007107E6"/>
    <w:rsid w:val="007151F9"/>
    <w:rsid w:val="0072065D"/>
    <w:rsid w:val="00732C85"/>
    <w:rsid w:val="007374CA"/>
    <w:rsid w:val="00751B8B"/>
    <w:rsid w:val="00763939"/>
    <w:rsid w:val="00764CC3"/>
    <w:rsid w:val="00765032"/>
    <w:rsid w:val="00785D73"/>
    <w:rsid w:val="007B57A9"/>
    <w:rsid w:val="007E5A4D"/>
    <w:rsid w:val="007F7825"/>
    <w:rsid w:val="00801419"/>
    <w:rsid w:val="00801D58"/>
    <w:rsid w:val="00803280"/>
    <w:rsid w:val="00821521"/>
    <w:rsid w:val="0082566B"/>
    <w:rsid w:val="008263FE"/>
    <w:rsid w:val="00837DD1"/>
    <w:rsid w:val="008410C3"/>
    <w:rsid w:val="00841E67"/>
    <w:rsid w:val="008539F1"/>
    <w:rsid w:val="0088256C"/>
    <w:rsid w:val="008930DC"/>
    <w:rsid w:val="00897370"/>
    <w:rsid w:val="008A43DC"/>
    <w:rsid w:val="008B6569"/>
    <w:rsid w:val="008B6F8F"/>
    <w:rsid w:val="008F4DD1"/>
    <w:rsid w:val="009104CB"/>
    <w:rsid w:val="00924E83"/>
    <w:rsid w:val="009338ED"/>
    <w:rsid w:val="009663AE"/>
    <w:rsid w:val="009668D9"/>
    <w:rsid w:val="009672AF"/>
    <w:rsid w:val="0098229C"/>
    <w:rsid w:val="00992516"/>
    <w:rsid w:val="009B769E"/>
    <w:rsid w:val="009C3E65"/>
    <w:rsid w:val="009C5C69"/>
    <w:rsid w:val="009F6AF1"/>
    <w:rsid w:val="009F748E"/>
    <w:rsid w:val="00A217C8"/>
    <w:rsid w:val="00A232CB"/>
    <w:rsid w:val="00A305A8"/>
    <w:rsid w:val="00A32803"/>
    <w:rsid w:val="00A3667E"/>
    <w:rsid w:val="00A36DAE"/>
    <w:rsid w:val="00A81A4B"/>
    <w:rsid w:val="00A91A30"/>
    <w:rsid w:val="00A9576D"/>
    <w:rsid w:val="00AA0DCF"/>
    <w:rsid w:val="00AA232F"/>
    <w:rsid w:val="00AA6E41"/>
    <w:rsid w:val="00AB1674"/>
    <w:rsid w:val="00AB1AD2"/>
    <w:rsid w:val="00AB2CB4"/>
    <w:rsid w:val="00AB3F44"/>
    <w:rsid w:val="00AC0710"/>
    <w:rsid w:val="00AC088D"/>
    <w:rsid w:val="00B025F8"/>
    <w:rsid w:val="00B1229D"/>
    <w:rsid w:val="00B13A42"/>
    <w:rsid w:val="00B24DA3"/>
    <w:rsid w:val="00B26372"/>
    <w:rsid w:val="00B35AA1"/>
    <w:rsid w:val="00B35DF8"/>
    <w:rsid w:val="00B526CF"/>
    <w:rsid w:val="00B6340D"/>
    <w:rsid w:val="00B7186C"/>
    <w:rsid w:val="00B941CB"/>
    <w:rsid w:val="00BB285F"/>
    <w:rsid w:val="00BC26DD"/>
    <w:rsid w:val="00C0144A"/>
    <w:rsid w:val="00C01913"/>
    <w:rsid w:val="00C01924"/>
    <w:rsid w:val="00C02790"/>
    <w:rsid w:val="00C0798B"/>
    <w:rsid w:val="00C2139D"/>
    <w:rsid w:val="00C24608"/>
    <w:rsid w:val="00C32EDD"/>
    <w:rsid w:val="00C432AB"/>
    <w:rsid w:val="00C503A3"/>
    <w:rsid w:val="00C55597"/>
    <w:rsid w:val="00C57A7D"/>
    <w:rsid w:val="00C6692D"/>
    <w:rsid w:val="00C844C2"/>
    <w:rsid w:val="00C96DAD"/>
    <w:rsid w:val="00CA0765"/>
    <w:rsid w:val="00CA4243"/>
    <w:rsid w:val="00CB1F56"/>
    <w:rsid w:val="00CC2812"/>
    <w:rsid w:val="00CE14C4"/>
    <w:rsid w:val="00CF5963"/>
    <w:rsid w:val="00CF68A3"/>
    <w:rsid w:val="00D02129"/>
    <w:rsid w:val="00D11E48"/>
    <w:rsid w:val="00D20603"/>
    <w:rsid w:val="00D32A9A"/>
    <w:rsid w:val="00D35A2B"/>
    <w:rsid w:val="00D468D3"/>
    <w:rsid w:val="00D671A1"/>
    <w:rsid w:val="00D747B2"/>
    <w:rsid w:val="00D77532"/>
    <w:rsid w:val="00D81D5C"/>
    <w:rsid w:val="00D92C75"/>
    <w:rsid w:val="00D96CF6"/>
    <w:rsid w:val="00D977FE"/>
    <w:rsid w:val="00DA2ADB"/>
    <w:rsid w:val="00DB4952"/>
    <w:rsid w:val="00DB65B0"/>
    <w:rsid w:val="00DD6D28"/>
    <w:rsid w:val="00E16B23"/>
    <w:rsid w:val="00E2231B"/>
    <w:rsid w:val="00E22A5E"/>
    <w:rsid w:val="00E255F1"/>
    <w:rsid w:val="00E262BC"/>
    <w:rsid w:val="00E31047"/>
    <w:rsid w:val="00E362D4"/>
    <w:rsid w:val="00E64595"/>
    <w:rsid w:val="00E70C42"/>
    <w:rsid w:val="00E737A4"/>
    <w:rsid w:val="00E76ED6"/>
    <w:rsid w:val="00E80D72"/>
    <w:rsid w:val="00E866D4"/>
    <w:rsid w:val="00E923BD"/>
    <w:rsid w:val="00EA3824"/>
    <w:rsid w:val="00EB2617"/>
    <w:rsid w:val="00EB3205"/>
    <w:rsid w:val="00EC02BB"/>
    <w:rsid w:val="00ED064C"/>
    <w:rsid w:val="00EE0CAF"/>
    <w:rsid w:val="00EE4C6E"/>
    <w:rsid w:val="00EE7B19"/>
    <w:rsid w:val="00EF4638"/>
    <w:rsid w:val="00F12226"/>
    <w:rsid w:val="00F15BEF"/>
    <w:rsid w:val="00F2240A"/>
    <w:rsid w:val="00F23A98"/>
    <w:rsid w:val="00F25182"/>
    <w:rsid w:val="00F4018F"/>
    <w:rsid w:val="00F40C61"/>
    <w:rsid w:val="00F505F4"/>
    <w:rsid w:val="00F50C8F"/>
    <w:rsid w:val="00F73B9D"/>
    <w:rsid w:val="00F8283F"/>
    <w:rsid w:val="00F9625A"/>
    <w:rsid w:val="00F97261"/>
    <w:rsid w:val="00FA6EBC"/>
    <w:rsid w:val="00FB3235"/>
    <w:rsid w:val="00FC2639"/>
    <w:rsid w:val="00FC662E"/>
    <w:rsid w:val="00FC6732"/>
    <w:rsid w:val="00FC7FED"/>
    <w:rsid w:val="00FE4AA9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7186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186C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A03D-45F8-4026-AC10-0E481276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15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26</cp:revision>
  <cp:lastPrinted>2024-01-09T06:46:00Z</cp:lastPrinted>
  <dcterms:created xsi:type="dcterms:W3CDTF">2023-11-07T14:33:00Z</dcterms:created>
  <dcterms:modified xsi:type="dcterms:W3CDTF">2024-01-12T11:25:00Z</dcterms:modified>
</cp:coreProperties>
</file>