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  <w:t xml:space="preserve">Извещение </w:t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  <w:t xml:space="preserve">о проведении о</w:t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  <w:t xml:space="preserve">ткрытого аукциона в электронной форме с открытой формой подачи предложений о цене на право заключения договора аренды муниципального имущества, закрепленного за муниципальным автономным учреждением культуры «Парк Швейцария» на праве оперативного управления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Форма закупки: Аукцион в электронной форме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Сумма закупки (рубли):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24 420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Размер задатка (рубли):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24 420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Площадь объекта: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7,4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кв.м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Контактный номер телефона: +8 (831)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282-63-00 (доб. 512)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Ссыл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ка на информационное сообщение: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https://torgi.gov.ru/new/public/notices/view/22000034120000000017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Статус: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Прием заявок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Категория: Аренда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Описание: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Организатор аукциона –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Муниципальное автономное учреждение культуры «Парк Швейцария»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603081, Нижегородская область, город Нижний Новгород, пр. Гагарина, д. 35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; тел.: (831)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282-63-00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512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))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Проведение аукциона обеспечивается Оператором федеральной электронной площадки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www.roseltorg.ru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в сети Интернет (далее – Оператор)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Место, дата начала, дата и время окончания срока подачи заявок: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Дата начала подачи заявок 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– 0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.2024 года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Дата и время окончания подачи заявок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 – 2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.2024 года до 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.00 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по московскому времени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на федеральной элект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ронной площадке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www.roseltorg.ru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в сети Интернет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Место подачи заявок - Заявки подаются на электронную площадку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www.roseltorg.ru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в сети Интернет, начиная с даты начала приема заявок до даты окончания приема заявок, указанных в Документации об аукционе в электронной форме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Документация об аукционе размещена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: на официальном Интернет-сайте Российской Федерации: 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torgi.gov.ru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(далее – официальный сайт торгов) и на федеральной электронной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площадке 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www.roseltorg.ru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в сети Интернет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Извещение на электронной площадке (ссылка):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Times New Roman" w:hAnsi="Times New Roman" w:cs="Times New Roman"/>
        </w:rPr>
        <w:t xml:space="preserve">https://torgi.gov.ru/new/public/notices/view/22000034120000000017</w:t>
      </w:r>
      <w:bookmarkEnd w:id="0"/>
      <w:r/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Дата, время, график проведения осмотра имущества, права на которое передаются по договору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: Осмотр имущества производится по рабочим дням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с 10.00 до 12.00 ч. и с 14.00 до 16.00 ч. по московскому времени с 05 июня 2024 года по 25 июня 2024 года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Информаци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я об имуществе, выставляемом на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 аукцион: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 </w:t>
      </w:r>
      <w:r/>
    </w:p>
    <w:tbl>
      <w:tblPr>
        <w:tblStyle w:val="608"/>
        <w:tblW w:w="935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9"/>
        <w:gridCol w:w="4659"/>
      </w:tblGrid>
      <w:tr>
        <w:trPr>
          <w:trHeight w:val="28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№ п/п</w:t>
            </w:r>
            <w:r/>
          </w:p>
        </w:tc>
        <w:tc>
          <w:tcPr>
            <w:gridSpan w:val="3"/>
            <w:tcW w:w="8789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1. </w:t>
            </w:r>
            <w:r>
              <w:t xml:space="preserve">Идентификация</w:t>
            </w:r>
            <w:r>
              <w:t xml:space="preserve"> </w:t>
            </w:r>
            <w:r>
              <w:t xml:space="preserve">объекта</w:t>
            </w:r>
            <w:r>
              <w:t xml:space="preserve"> </w:t>
            </w:r>
            <w:r>
              <w:t xml:space="preserve">аренды</w:t>
            </w:r>
            <w:r/>
          </w:p>
        </w:tc>
      </w:tr>
      <w:tr>
        <w:trPr>
          <w:trHeight w:val="58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1.1</w:t>
            </w:r>
            <w:r/>
          </w:p>
        </w:tc>
        <w:tc>
          <w:tcPr>
            <w:gridSpan w:val="2"/>
            <w:tcW w:w="4130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Местоположение</w:t>
            </w:r>
            <w:r>
              <w:t xml:space="preserve"> </w:t>
            </w:r>
            <w:r>
              <w:t xml:space="preserve">объекта</w:t>
            </w:r>
            <w:r/>
          </w:p>
        </w:tc>
        <w:tc>
          <w:tcPr>
            <w:tcW w:w="4659" w:type="dxa"/>
            <w:vAlign w:val="center"/>
            <w:textDirection w:val="lrTb"/>
            <w:noWrap w:val="false"/>
          </w:tcPr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Нижегородская область, г. Нижний Новгород, р-н</w:t>
            </w:r>
            <w:r/>
          </w:p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Приокский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пр-кт</w:t>
            </w:r>
            <w:r>
              <w:rPr>
                <w:lang w:val="ru-RU"/>
              </w:rPr>
              <w:t xml:space="preserve"> Гагарина, д 35</w:t>
            </w:r>
            <w:r/>
          </w:p>
        </w:tc>
      </w:tr>
      <w:tr>
        <w:trPr>
          <w:trHeight w:val="688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1.2</w:t>
            </w:r>
            <w:r/>
          </w:p>
        </w:tc>
        <w:tc>
          <w:tcPr>
            <w:gridSpan w:val="2"/>
            <w:tcW w:w="4130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Объект</w:t>
            </w:r>
            <w:r>
              <w:t xml:space="preserve"> </w:t>
            </w:r>
            <w:r>
              <w:t xml:space="preserve">аренды</w:t>
            </w:r>
            <w:r/>
          </w:p>
        </w:tc>
        <w:tc>
          <w:tcPr>
            <w:tcW w:w="4659" w:type="dxa"/>
            <w:vAlign w:val="center"/>
            <w:textDirection w:val="lrTb"/>
            <w:noWrap w:val="false"/>
          </w:tcPr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часть сооружения «Ворота с колоннадой в районе ост. «Музей района» и с кассами в районе ост. Кинотеатр «Электрон»: помещение слева </w:t>
            </w:r>
            <w:r>
              <w:rPr>
                <w:lang w:val="ru-RU"/>
              </w:rPr>
              <w:t xml:space="preserve">от ост</w:t>
            </w:r>
            <w:r>
              <w:rPr>
                <w:lang w:val="ru-RU"/>
              </w:rPr>
              <w:t xml:space="preserve">. «Кинотеатр «Электрон»</w:t>
            </w:r>
            <w:r/>
          </w:p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Площадь помещения: 7,4 </w:t>
            </w:r>
            <w:r>
              <w:rPr>
                <w:lang w:val="ru-RU"/>
              </w:rPr>
              <w:t xml:space="preserve">кв.м</w:t>
            </w:r>
            <w:r>
              <w:rPr>
                <w:lang w:val="ru-RU"/>
              </w:rPr>
              <w:t xml:space="preserve">.</w:t>
            </w:r>
            <w:r/>
          </w:p>
        </w:tc>
      </w:tr>
      <w:tr>
        <w:trPr>
          <w:trHeight w:val="558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1.3</w:t>
            </w:r>
            <w:r/>
          </w:p>
        </w:tc>
        <w:tc>
          <w:tcPr>
            <w:gridSpan w:val="2"/>
            <w:tcW w:w="4130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Сведения</w:t>
            </w:r>
            <w:r>
              <w:t xml:space="preserve"> о </w:t>
            </w:r>
            <w:r>
              <w:t xml:space="preserve">правообладателях</w:t>
            </w:r>
            <w:r/>
          </w:p>
        </w:tc>
        <w:tc>
          <w:tcPr>
            <w:tcW w:w="4659" w:type="dxa"/>
            <w:vAlign w:val="center"/>
            <w:textDirection w:val="lrTb"/>
            <w:noWrap w:val="false"/>
          </w:tcPr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Полное наименование: Муниципальное автономное учреждение культуры «Парк Швейцария» Сокращенное наименование: МАУК «Парк Швейцария»</w:t>
            </w:r>
            <w:r/>
          </w:p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Юридический адрес: 603081, Нижегородская область, пр. Гагарина, д. 35</w:t>
            </w:r>
            <w:r/>
          </w:p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Почтовый адрес: 603104, Нижегородская область, пр. Гагарина, д. 35</w:t>
            </w:r>
            <w:r/>
          </w:p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ИНН: 5261129784, КПП: 526101001</w:t>
            </w:r>
            <w:r/>
          </w:p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ОГРН: 1215200020870</w:t>
            </w:r>
            <w:r/>
          </w:p>
          <w:p>
            <w:pPr>
              <w:shd w:val="nil"/>
              <w:rPr>
                <w14:ligatures w14:val="none"/>
              </w:rPr>
            </w:pPr>
            <w:r>
              <w:t xml:space="preserve">Дата</w:t>
            </w:r>
            <w:r>
              <w:t xml:space="preserve"> </w:t>
            </w:r>
            <w:r>
              <w:t xml:space="preserve">государственной</w:t>
            </w:r>
            <w:r>
              <w:t xml:space="preserve"> </w:t>
            </w:r>
            <w:r>
              <w:t xml:space="preserve">регистрации</w:t>
            </w:r>
            <w:r>
              <w:t xml:space="preserve">: 07.06.2021 г.</w:t>
            </w:r>
            <w:r/>
          </w:p>
        </w:tc>
      </w:tr>
      <w:tr>
        <w:trPr>
          <w:trHeight w:val="46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1.4</w:t>
            </w:r>
            <w:r/>
          </w:p>
        </w:tc>
        <w:tc>
          <w:tcPr>
            <w:gridSpan w:val="2"/>
            <w:tcW w:w="4130" w:type="dxa"/>
            <w:vAlign w:val="center"/>
            <w:textDirection w:val="lrTb"/>
            <w:noWrap w:val="false"/>
          </w:tcPr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Имущественные права правообладателя на объект аренды</w:t>
            </w:r>
            <w:r/>
          </w:p>
        </w:tc>
        <w:tc>
          <w:tcPr>
            <w:tcW w:w="4659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Право</w:t>
            </w:r>
            <w:r>
              <w:t xml:space="preserve"> </w:t>
            </w:r>
            <w:r>
              <w:t xml:space="preserve">оперативного</w:t>
            </w:r>
            <w:r>
              <w:t xml:space="preserve"> </w:t>
            </w:r>
            <w:r>
              <w:t xml:space="preserve">управления</w:t>
            </w:r>
            <w:r/>
          </w:p>
        </w:tc>
      </w:tr>
      <w:tr>
        <w:trPr>
          <w:trHeight w:val="46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1.5</w:t>
            </w:r>
            <w:r/>
          </w:p>
        </w:tc>
        <w:tc>
          <w:tcPr>
            <w:gridSpan w:val="2"/>
            <w:tcW w:w="4130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Ограничения</w:t>
            </w:r>
            <w:r>
              <w:t xml:space="preserve">:</w:t>
            </w:r>
            <w:r/>
          </w:p>
        </w:tc>
        <w:tc>
          <w:tcPr>
            <w:tcW w:w="4659" w:type="dxa"/>
            <w:vAlign w:val="center"/>
            <w:textDirection w:val="lrTb"/>
            <w:noWrap w:val="false"/>
          </w:tcPr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Объект культурного наследия регионального значения (приказ управления государственной охраны объектов культурного наследия Нижегородской области от 28.10.2016 № 216)</w:t>
            </w:r>
            <w:r/>
          </w:p>
        </w:tc>
      </w:tr>
      <w:tr>
        <w:trPr>
          <w:trHeight w:val="27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№ п/п</w:t>
            </w:r>
            <w:r/>
          </w:p>
        </w:tc>
        <w:tc>
          <w:tcPr>
            <w:gridSpan w:val="3"/>
            <w:tcW w:w="8789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2. </w:t>
            </w:r>
            <w:r>
              <w:t xml:space="preserve">Описание</w:t>
            </w:r>
            <w:r>
              <w:t xml:space="preserve"> </w:t>
            </w:r>
            <w:r>
              <w:t xml:space="preserve">имущества</w:t>
            </w:r>
            <w:r/>
          </w:p>
        </w:tc>
      </w:tr>
      <w:tr>
        <w:trPr>
          <w:trHeight w:val="27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2.1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Первичный</w:t>
            </w:r>
            <w:r>
              <w:t xml:space="preserve"> </w:t>
            </w:r>
            <w:r>
              <w:t xml:space="preserve">объект</w:t>
            </w:r>
            <w:r>
              <w:t xml:space="preserve"> </w:t>
            </w:r>
            <w:r>
              <w:t xml:space="preserve">имущества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сооружение «Ворота с колоннадой в районе ост.</w:t>
            </w:r>
            <w:r/>
          </w:p>
          <w:p>
            <w:pPr>
              <w:shd w:val="nil"/>
              <w:rPr>
                <w14:ligatures w14:val="none"/>
              </w:rPr>
            </w:pPr>
            <w:r>
              <w:rPr>
                <w:lang w:val="ru-RU"/>
              </w:rPr>
              <w:t xml:space="preserve">«Музей района» и с кассами в районе ост. </w:t>
            </w:r>
            <w:r>
              <w:t xml:space="preserve">Кинотеатр</w:t>
            </w:r>
            <w:r/>
          </w:p>
          <w:p>
            <w:pPr>
              <w:shd w:val="nil"/>
              <w:rPr>
                <w14:ligatures w14:val="none"/>
              </w:rPr>
            </w:pPr>
            <w:r>
              <w:t xml:space="preserve">«</w:t>
            </w:r>
            <w:r>
              <w:t xml:space="preserve">Электрон</w:t>
            </w:r>
            <w:r>
              <w:t xml:space="preserve">»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2.2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Протяженность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52 м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2.3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Год</w:t>
            </w:r>
            <w:r>
              <w:t xml:space="preserve"> </w:t>
            </w:r>
            <w:r>
              <w:t xml:space="preserve">ввода</w:t>
            </w:r>
            <w:r>
              <w:t xml:space="preserve"> в </w:t>
            </w:r>
            <w:r>
              <w:t xml:space="preserve">эксплуатацию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1958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2.4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Техническое</w:t>
            </w:r>
            <w:r>
              <w:t xml:space="preserve"> </w:t>
            </w:r>
            <w:r>
              <w:t xml:space="preserve">состояние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Ремонт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требуется</w:t>
            </w:r>
            <w:r/>
          </w:p>
        </w:tc>
      </w:tr>
      <w:tr>
        <w:trPr>
          <w:trHeight w:val="268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№ п/п</w:t>
            </w:r>
            <w:r/>
          </w:p>
        </w:tc>
        <w:tc>
          <w:tcPr>
            <w:gridSpan w:val="3"/>
            <w:tcW w:w="8789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 </w:t>
            </w:r>
            <w:r>
              <w:t xml:space="preserve">Описание</w:t>
            </w:r>
            <w:r>
              <w:t xml:space="preserve"> </w:t>
            </w:r>
            <w:r>
              <w:t xml:space="preserve">конструктивных</w:t>
            </w:r>
            <w:r>
              <w:t xml:space="preserve"> </w:t>
            </w:r>
            <w:r>
              <w:t xml:space="preserve">элементов</w:t>
            </w:r>
            <w:r>
              <w:t xml:space="preserve"> </w:t>
            </w:r>
            <w:r>
              <w:t xml:space="preserve">сооружения</w:t>
            </w:r>
            <w:r/>
          </w:p>
        </w:tc>
      </w:tr>
      <w:tr>
        <w:trPr>
          <w:trHeight w:val="46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3.1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Фундаменты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Бутовые</w:t>
            </w:r>
            <w:r/>
          </w:p>
        </w:tc>
      </w:tr>
      <w:tr>
        <w:trPr>
          <w:trHeight w:val="383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3.2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Стены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Кирпичные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3.3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Крыша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Металлическая</w:t>
            </w:r>
            <w:r/>
          </w:p>
        </w:tc>
      </w:tr>
      <w:tr>
        <w:trPr>
          <w:trHeight w:val="263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3.4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Полы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Плитка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3.5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Потолки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Окраска</w:t>
            </w:r>
            <w:r/>
          </w:p>
        </w:tc>
      </w:tr>
      <w:tr>
        <w:trPr>
          <w:trHeight w:val="26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3.6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Окна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Деревянные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3.7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Двери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Деревянные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3.8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Водоснабжение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-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3.9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Канализация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-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3.10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Отопление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Электрическое</w:t>
            </w:r>
            <w:r>
              <w:t xml:space="preserve"> (</w:t>
            </w:r>
            <w:r>
              <w:t xml:space="preserve">конвектора</w:t>
            </w:r>
            <w:r>
              <w:t xml:space="preserve">)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3.11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Кондиционирование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Нет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3.12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Электричество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Есть</w:t>
            </w:r>
            <w:r/>
          </w:p>
        </w:tc>
      </w:tr>
      <w:tr>
        <w:trPr>
          <w:trHeight w:val="266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№ п/п</w:t>
            </w:r>
            <w:r/>
          </w:p>
        </w:tc>
        <w:tc>
          <w:tcPr>
            <w:gridSpan w:val="3"/>
            <w:tcW w:w="8789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 </w:t>
            </w:r>
            <w:r>
              <w:t xml:space="preserve">Описание</w:t>
            </w:r>
            <w:r>
              <w:t xml:space="preserve"> </w:t>
            </w:r>
            <w:r>
              <w:t xml:space="preserve">помещения</w:t>
            </w:r>
            <w:r/>
          </w:p>
        </w:tc>
      </w:tr>
      <w:tr>
        <w:trPr>
          <w:trHeight w:val="263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4.1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Этаж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1</w:t>
            </w:r>
            <w:r/>
          </w:p>
        </w:tc>
      </w:tr>
      <w:tr>
        <w:trPr>
          <w:trHeight w:val="266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4.2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Общий</w:t>
            </w:r>
            <w:r>
              <w:t xml:space="preserve"> </w:t>
            </w:r>
            <w:r>
              <w:t xml:space="preserve">или</w:t>
            </w:r>
            <w:r>
              <w:t xml:space="preserve"> </w:t>
            </w:r>
            <w:r>
              <w:t xml:space="preserve">отдельный</w:t>
            </w:r>
            <w:r>
              <w:t xml:space="preserve"> </w:t>
            </w:r>
            <w:r>
              <w:t xml:space="preserve">вход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Отдельный</w:t>
            </w:r>
            <w:r>
              <w:t xml:space="preserve"> </w:t>
            </w:r>
            <w:r>
              <w:t xml:space="preserve">вход</w:t>
            </w:r>
            <w:r/>
          </w:p>
        </w:tc>
      </w:tr>
      <w:tr>
        <w:trPr>
          <w:trHeight w:val="46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4.3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Общая</w:t>
            </w:r>
            <w:r>
              <w:t xml:space="preserve"> </w:t>
            </w:r>
            <w:r>
              <w:t xml:space="preserve">площадь</w:t>
            </w:r>
            <w:r>
              <w:t xml:space="preserve">, </w:t>
            </w:r>
            <w:r>
              <w:t xml:space="preserve">кв.м</w:t>
            </w:r>
            <w:r>
              <w:t xml:space="preserve">.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7</w:t>
            </w:r>
            <w:r>
              <w:t xml:space="preserve">,4</w:t>
            </w:r>
            <w:r>
              <w:t xml:space="preserve"> </w:t>
            </w:r>
            <w:r>
              <w:t xml:space="preserve">кв.м</w:t>
            </w:r>
            <w:r>
              <w:t xml:space="preserve">.</w:t>
            </w:r>
            <w:r/>
          </w:p>
        </w:tc>
      </w:tr>
      <w:tr>
        <w:trPr>
          <w:trHeight w:val="28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4.4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Конфигурация (функциональная, недостаточно функциональная, </w:t>
            </w:r>
            <w:r>
              <w:rPr>
                <w:lang w:val="ru-RU"/>
              </w:rPr>
              <w:t xml:space="preserve">неадекватная)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Функциональная</w:t>
            </w:r>
            <w:r/>
          </w:p>
        </w:tc>
      </w:tr>
      <w:tr>
        <w:trPr>
          <w:trHeight w:val="541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4.5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Перечень и класс инженерного </w:t>
            </w:r>
            <w:r>
              <w:rPr>
                <w:lang w:val="ru-RU"/>
              </w:rPr>
              <w:t xml:space="preserve">оборудования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Современное</w:t>
            </w:r>
            <w:r/>
          </w:p>
        </w:tc>
      </w:tr>
      <w:tr>
        <w:trPr>
          <w:trHeight w:val="28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4.6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Состояние</w:t>
            </w:r>
            <w:r>
              <w:t xml:space="preserve"> </w:t>
            </w:r>
            <w:r>
              <w:t xml:space="preserve">отделки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не</w:t>
            </w:r>
            <w:r>
              <w:t xml:space="preserve"> </w:t>
            </w:r>
            <w:r>
              <w:t xml:space="preserve">требует</w:t>
            </w:r>
            <w:r>
              <w:t xml:space="preserve"> </w:t>
            </w:r>
            <w:r>
              <w:t xml:space="preserve">ремонта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4.7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Состояние</w:t>
            </w:r>
            <w:r>
              <w:t xml:space="preserve"> </w:t>
            </w:r>
            <w:r>
              <w:t xml:space="preserve">инженерного</w:t>
            </w:r>
            <w:r>
              <w:t xml:space="preserve"> </w:t>
            </w:r>
            <w:r>
              <w:t xml:space="preserve">оборудования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не</w:t>
            </w:r>
            <w:r>
              <w:t xml:space="preserve"> </w:t>
            </w:r>
            <w:r>
              <w:t xml:space="preserve">требует</w:t>
            </w:r>
            <w:r>
              <w:t xml:space="preserve"> </w:t>
            </w:r>
            <w:r>
              <w:t xml:space="preserve">замены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4.8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Физическое</w:t>
            </w:r>
            <w:r>
              <w:t xml:space="preserve"> </w:t>
            </w:r>
            <w:r>
              <w:t xml:space="preserve">состояние</w:t>
            </w:r>
            <w:r>
              <w:t xml:space="preserve"> </w:t>
            </w:r>
            <w:r>
              <w:t xml:space="preserve">помещения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Нормальное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4.9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Сведения о подключения объекта к системам водопровода, горячего водоснабжения, канализации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-</w:t>
            </w:r>
            <w:r/>
          </w:p>
        </w:tc>
      </w:tr>
      <w:tr>
        <w:trPr>
          <w:trHeight w:val="38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4.10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Центральное</w:t>
            </w:r>
            <w:r>
              <w:t xml:space="preserve"> </w:t>
            </w:r>
            <w:r>
              <w:t xml:space="preserve">отопление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Нет</w:t>
            </w:r>
            <w:r>
              <w:t xml:space="preserve">, </w:t>
            </w:r>
            <w:r>
              <w:t xml:space="preserve">имеется</w:t>
            </w:r>
            <w:r>
              <w:t xml:space="preserve"> </w:t>
            </w:r>
            <w:r>
              <w:t xml:space="preserve">электрическое</w:t>
            </w:r>
            <w:r>
              <w:t xml:space="preserve"> </w:t>
            </w:r>
            <w:r>
              <w:t xml:space="preserve">отопление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4.11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Кондиционирование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Нет</w:t>
            </w:r>
            <w:r/>
          </w:p>
        </w:tc>
      </w:tr>
      <w:tr>
        <w:trPr>
          <w:trHeight w:val="23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4.12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Оборудование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вышеперечисленных</w:t>
            </w:r>
            <w:r>
              <w:t xml:space="preserve"> </w:t>
            </w:r>
            <w:r>
              <w:t xml:space="preserve">систем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Есть</w:t>
            </w:r>
            <w:r/>
          </w:p>
        </w:tc>
      </w:tr>
      <w:tr>
        <w:trPr>
          <w:trHeight w:val="46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4.13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Текущее</w:t>
            </w:r>
            <w:r>
              <w:t xml:space="preserve"> </w:t>
            </w:r>
            <w:r>
              <w:t xml:space="preserve">использование</w:t>
            </w:r>
            <w:r/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>
              <w:t xml:space="preserve">Нежилое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Целевое назначение имущества: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общественного питания.</w:t>
      </w:r>
      <w:r/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Срок действия договора: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момента заключения договора до 30.09.2024 включительно.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Начальная (минимальная) цена договора: </w:t>
      </w: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установлена на основании отчета об определении рыночной стоимости права пользования и владения имуществом </w:t>
      </w: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от 30.04.2024 № 7696Н.2 и составляет 24 420 (двадцать четыре тысячи четыреста двадцать) рублей 00 копеек (без НДС) в месяц</w:t>
      </w: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Величина повышения начальной цены договора («шаг аукциона»): </w:t>
      </w: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устанавливается в размере пяти процентов начальной (минимальной) цены договора и составляет 1 221 (одна тысяча двести двадцать один) рубль 00 копеек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Требование о внесении задатка: </w:t>
      </w: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для участия в аукционе требуется внесение задатка заявителем в размере 24 420 (двадцать четыре тысячи четыреста двадцать) рублей 00 копеек</w:t>
      </w: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Задаток должен поступить на счет Оператора электронной площадки до момента подачи заявки.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4171e"/>
          <w:sz w:val="24"/>
          <w:szCs w:val="24"/>
          <w:lang w:eastAsia="ru-RU"/>
        </w:rPr>
        <w:t xml:space="preserve">Дата и время начала проведения аукциона: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28 июня 2024 года в 09.00 по московскому времени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4171e"/>
          <w:sz w:val="24"/>
          <w:szCs w:val="24"/>
          <w:lang w:eastAsia="ru-RU"/>
        </w:rPr>
        <w:t xml:space="preserve">Дата начала подачи заявок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июня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2024 года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4171e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color w:val="14171e"/>
          <w:sz w:val="24"/>
          <w:szCs w:val="24"/>
          <w:lang w:eastAsia="ru-RU"/>
        </w:rPr>
        <w:t xml:space="preserve"> и время</w:t>
      </w:r>
      <w:r>
        <w:rPr>
          <w:rFonts w:ascii="Times New Roman" w:hAnsi="Times New Roman" w:eastAsia="Times New Roman" w:cs="Times New Roman"/>
          <w:b/>
          <w:color w:val="14171e"/>
          <w:sz w:val="24"/>
          <w:szCs w:val="24"/>
          <w:lang w:eastAsia="ru-RU"/>
        </w:rPr>
        <w:t xml:space="preserve"> окончания подачи заявок: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26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июня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2024 года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до 09.00 по московскому времени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1"/>
    <w:link w:val="6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paragraph" w:styleId="600">
    <w:name w:val="Heading 1"/>
    <w:basedOn w:val="599"/>
    <w:link w:val="60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1 Знак"/>
    <w:basedOn w:val="601"/>
    <w:link w:val="60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05">
    <w:name w:val="Normal (Web)"/>
    <w:basedOn w:val="5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6">
    <w:name w:val="Hyperlink"/>
    <w:basedOn w:val="601"/>
    <w:uiPriority w:val="99"/>
    <w:unhideWhenUsed/>
    <w:rPr>
      <w:color w:val="0000ff"/>
      <w:u w:val="single"/>
    </w:rPr>
  </w:style>
  <w:style w:type="character" w:styleId="607">
    <w:name w:val="Strong"/>
    <w:basedOn w:val="601"/>
    <w:uiPriority w:val="22"/>
    <w:qFormat/>
    <w:rPr>
      <w:b/>
      <w:bCs/>
    </w:rPr>
  </w:style>
  <w:style w:type="table" w:styleId="608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09" w:customStyle="1">
    <w:name w:val="Table Paragraph"/>
    <w:basedOn w:val="599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revision>6</cp:revision>
  <dcterms:created xsi:type="dcterms:W3CDTF">2024-06-06T07:25:00Z</dcterms:created>
  <dcterms:modified xsi:type="dcterms:W3CDTF">2024-06-06T12:43:55Z</dcterms:modified>
</cp:coreProperties>
</file>