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E275F9">
        <w:rPr>
          <w:rFonts w:ascii="Times New Roman" w:hAnsi="Times New Roman" w:cs="Times New Roman"/>
          <w:sz w:val="24"/>
          <w:szCs w:val="24"/>
        </w:rPr>
        <w:t>31.05</w:t>
      </w:r>
      <w:r w:rsidR="0051519C" w:rsidRPr="00666D9A">
        <w:rPr>
          <w:rFonts w:ascii="Times New Roman" w:hAnsi="Times New Roman" w:cs="Times New Roman"/>
          <w:sz w:val="24"/>
          <w:szCs w:val="24"/>
        </w:rPr>
        <w:t>.202</w:t>
      </w:r>
      <w:r w:rsidR="00E275F9">
        <w:rPr>
          <w:rFonts w:ascii="Times New Roman" w:hAnsi="Times New Roman" w:cs="Times New Roman"/>
          <w:sz w:val="24"/>
          <w:szCs w:val="24"/>
        </w:rPr>
        <w:t>4</w:t>
      </w:r>
      <w:r w:rsidR="0051519C" w:rsidRPr="00666D9A">
        <w:rPr>
          <w:rFonts w:ascii="Times New Roman" w:hAnsi="Times New Roman" w:cs="Times New Roman"/>
          <w:sz w:val="24"/>
          <w:szCs w:val="24"/>
        </w:rPr>
        <w:t xml:space="preserve"> № </w:t>
      </w:r>
      <w:r w:rsidR="00E275F9">
        <w:rPr>
          <w:rFonts w:ascii="Times New Roman" w:hAnsi="Times New Roman" w:cs="Times New Roman"/>
          <w:sz w:val="24"/>
          <w:szCs w:val="24"/>
        </w:rPr>
        <w:t>3967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стороны, кадастровый номер 52:18:0040002:155, с видом разрешенного использования: для индивидуального жилищного строительства</w:t>
      </w:r>
      <w:r w:rsidR="009B35AE" w:rsidRPr="009B35AE">
        <w:rPr>
          <w:rFonts w:ascii="Times New Roman" w:hAnsi="Times New Roman" w:cs="Times New Roman"/>
          <w:sz w:val="24"/>
          <w:szCs w:val="24"/>
        </w:rPr>
        <w:t>»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666D9A">
        <w:rPr>
          <w:rFonts w:ascii="Times New Roman" w:hAnsi="Times New Roman" w:cs="Times New Roman"/>
          <w:sz w:val="24"/>
          <w:szCs w:val="24"/>
        </w:rPr>
        <w:t>право на заключение договора аренды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275F9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стороны, кад</w:t>
      </w:r>
      <w:r w:rsidR="00E275F9">
        <w:rPr>
          <w:rFonts w:ascii="Times New Roman" w:hAnsi="Times New Roman" w:cs="Times New Roman"/>
          <w:sz w:val="24"/>
          <w:szCs w:val="24"/>
        </w:rPr>
        <w:t>астровый номер 52:18:0040002:155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BB6701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>
        <w:rPr>
          <w:rFonts w:ascii="Times New Roman" w:hAnsi="Times New Roman" w:cs="Times New Roman"/>
          <w:sz w:val="24"/>
          <w:szCs w:val="24"/>
        </w:rPr>
        <w:t>1 152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BB6701">
        <w:rPr>
          <w:rFonts w:ascii="Times New Roman" w:hAnsi="Times New Roman" w:cs="Times New Roman"/>
          <w:sz w:val="24"/>
          <w:szCs w:val="24"/>
        </w:rPr>
        <w:t>12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52:18:0040002:155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>Нижегородская область, городской округ город Нижний Новгород, г</w:t>
      </w:r>
      <w:r w:rsidR="00D5094A">
        <w:rPr>
          <w:rFonts w:ascii="Times New Roman" w:hAnsi="Times New Roman" w:cs="Times New Roman"/>
          <w:sz w:val="24"/>
          <w:szCs w:val="24"/>
        </w:rPr>
        <w:t>ород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 Нижний Новгород, </w:t>
      </w:r>
      <w:r w:rsidR="00D5094A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D5094A">
        <w:rPr>
          <w:rFonts w:ascii="Times New Roman" w:hAnsi="Times New Roman" w:cs="Times New Roman"/>
          <w:sz w:val="24"/>
          <w:szCs w:val="24"/>
        </w:rPr>
        <w:t xml:space="preserve"> </w:t>
      </w:r>
      <w:r w:rsidR="00D5094A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D5094A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D5094A" w:rsidRPr="00BB6701">
        <w:rPr>
          <w:rFonts w:ascii="Times New Roman" w:hAnsi="Times New Roman" w:cs="Times New Roman"/>
          <w:sz w:val="24"/>
          <w:szCs w:val="24"/>
        </w:rPr>
        <w:t>, ул.</w:t>
      </w:r>
      <w:r w:rsidR="00D5094A">
        <w:rPr>
          <w:rFonts w:ascii="Times New Roman" w:hAnsi="Times New Roman" w:cs="Times New Roman"/>
          <w:sz w:val="24"/>
          <w:szCs w:val="24"/>
        </w:rPr>
        <w:t xml:space="preserve"> </w:t>
      </w:r>
      <w:r w:rsidR="00D5094A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094A">
        <w:rPr>
          <w:rFonts w:ascii="Times New Roman" w:hAnsi="Times New Roman" w:cs="Times New Roman"/>
          <w:sz w:val="24"/>
          <w:szCs w:val="24"/>
        </w:rPr>
        <w:t>55ГС-2021, дата выдачи 22</w:t>
      </w:r>
      <w:r w:rsidR="00E5186C" w:rsidRPr="00E5186C">
        <w:rPr>
          <w:rFonts w:ascii="Times New Roman" w:hAnsi="Times New Roman" w:cs="Times New Roman"/>
          <w:sz w:val="24"/>
          <w:szCs w:val="24"/>
        </w:rPr>
        <w:t>.12.2021,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2A2C57" w:rsidRPr="002F443A" w:rsidRDefault="002A2C5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2A2C57" w:rsidRPr="002F443A" w:rsidTr="00902C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A2C57" w:rsidRPr="002F443A" w:rsidTr="00902C90">
        <w:trPr>
          <w:trHeight w:val="15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D5094A" w:rsidP="0081731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</w:t>
            </w:r>
            <w:r w:rsidR="002A2C57"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роект планировки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A2C57"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территории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включая проект межевания территории)  в границах улиц Школьная, 24 линия, 30 линия, 22 линия, 32 линия, 20 линия, 33 линия, 18 линия поселка Новое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Автозаводском 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районе 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902C90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817318" w:rsidP="00817318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2A2C57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2A2C57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9E3B80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817318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-0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-03/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</w:tbl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справки земельного участка (арх. номер </w:t>
      </w:r>
      <w:r w:rsidR="00817318">
        <w:rPr>
          <w:rFonts w:ascii="Times New Roman" w:eastAsiaTheme="minorHAnsi" w:hAnsi="Times New Roman" w:cs="Times New Roman"/>
          <w:sz w:val="24"/>
          <w:szCs w:val="24"/>
          <w:lang w:eastAsia="en-US"/>
        </w:rPr>
        <w:t>55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817318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.11.2021, содержит информацию о наличии инженерных сетей и градостроительных ограничений.</w:t>
      </w:r>
    </w:p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Топографическая основа подлежит полевой корректуре.</w:t>
      </w:r>
    </w:p>
    <w:p w:rsidR="008D7BA7" w:rsidRPr="008D7BA7" w:rsidRDefault="008D7BA7" w:rsidP="0098734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BA7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8D7BA7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8D7BA7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</w:t>
      </w:r>
      <w:r w:rsidRPr="008D7BA7">
        <w:rPr>
          <w:rFonts w:ascii="Times New Roman" w:hAnsi="Times New Roman" w:cs="Times New Roman"/>
          <w:sz w:val="24"/>
          <w:szCs w:val="24"/>
        </w:rPr>
        <w:lastRenderedPageBreak/>
        <w:t>землепользования и застройки города Нижнего Новгорода»</w:t>
      </w:r>
      <w:r w:rsidR="00EB63D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8D7BA7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817318">
        <w:rPr>
          <w:rFonts w:ascii="Times New Roman" w:hAnsi="Times New Roman" w:cs="Times New Roman"/>
          <w:b/>
          <w:sz w:val="24"/>
          <w:szCs w:val="24"/>
        </w:rPr>
        <w:t>ТЖи-</w:t>
      </w:r>
      <w:r w:rsidR="00817318" w:rsidRPr="00817318">
        <w:rPr>
          <w:rFonts w:ascii="Times New Roman" w:hAnsi="Times New Roman" w:cs="Times New Roman"/>
          <w:b/>
          <w:sz w:val="24"/>
          <w:szCs w:val="24"/>
        </w:rPr>
        <w:t>1</w:t>
      </w:r>
      <w:r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817318">
        <w:rPr>
          <w:rFonts w:ascii="Times New Roman" w:hAnsi="Times New Roman" w:cs="Times New Roman"/>
          <w:sz w:val="24"/>
          <w:szCs w:val="24"/>
        </w:rPr>
        <w:t>низко</w:t>
      </w:r>
      <w:r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AB1674" w:rsidRPr="000B4978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0C0549" w:rsidRPr="000C0549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0C0549">
        <w:rPr>
          <w:rFonts w:ascii="Times New Roman" w:hAnsi="Times New Roman" w:cs="Times New Roman"/>
          <w:sz w:val="24"/>
          <w:szCs w:val="24"/>
        </w:rPr>
        <w:t xml:space="preserve"> аэродрома Нижний Новгород (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0C054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C0549">
        <w:rPr>
          <w:rFonts w:ascii="Times New Roman" w:hAnsi="Times New Roman" w:cs="Times New Roman"/>
          <w:sz w:val="24"/>
          <w:szCs w:val="24"/>
        </w:rPr>
        <w:t>реестровый номер: 52:00-6.1079):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C0549">
        <w:rPr>
          <w:rFonts w:ascii="Times New Roman" w:hAnsi="Times New Roman" w:cs="Times New Roman"/>
          <w:sz w:val="24"/>
          <w:szCs w:val="24"/>
        </w:rPr>
        <w:t xml:space="preserve"> 3 (реестровый номер: 52:00-6.1076)(сектор 20)</w:t>
      </w:r>
      <w:r>
        <w:rPr>
          <w:rFonts w:ascii="Times New Roman" w:hAnsi="Times New Roman" w:cs="Times New Roman"/>
          <w:sz w:val="24"/>
          <w:szCs w:val="24"/>
        </w:rPr>
        <w:t xml:space="preserve"> (частично);</w:t>
      </w:r>
    </w:p>
    <w:p w:rsidR="000C0549" w:rsidRPr="000C0549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0C0549">
        <w:rPr>
          <w:rFonts w:ascii="Times New Roman" w:hAnsi="Times New Roman" w:cs="Times New Roman"/>
          <w:sz w:val="24"/>
          <w:szCs w:val="24"/>
        </w:rPr>
        <w:t xml:space="preserve"> аэродрома Нижний Новгор</w:t>
      </w:r>
      <w:r>
        <w:rPr>
          <w:rFonts w:ascii="Times New Roman" w:hAnsi="Times New Roman" w:cs="Times New Roman"/>
          <w:sz w:val="24"/>
          <w:szCs w:val="24"/>
        </w:rPr>
        <w:t>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реестровый номер:</w:t>
      </w:r>
      <w:r w:rsidRPr="000C0549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C0549">
        <w:rPr>
          <w:rFonts w:ascii="Times New Roman" w:hAnsi="Times New Roman" w:cs="Times New Roman"/>
          <w:sz w:val="24"/>
          <w:szCs w:val="24"/>
        </w:rPr>
        <w:t xml:space="preserve"> 3 (реестровый номер: 52:00-6.1076)(сектор 21)</w:t>
      </w:r>
      <w:r>
        <w:rPr>
          <w:rFonts w:ascii="Times New Roman" w:hAnsi="Times New Roman" w:cs="Times New Roman"/>
          <w:sz w:val="24"/>
          <w:szCs w:val="24"/>
        </w:rPr>
        <w:t xml:space="preserve"> (частично);</w:t>
      </w:r>
    </w:p>
    <w:p w:rsidR="000C0549" w:rsidRPr="000C0549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0C0549">
        <w:rPr>
          <w:rFonts w:ascii="Times New Roman" w:hAnsi="Times New Roman" w:cs="Times New Roman"/>
          <w:sz w:val="24"/>
          <w:szCs w:val="24"/>
        </w:rPr>
        <w:t xml:space="preserve"> аэ</w:t>
      </w:r>
      <w:proofErr w:type="gramEnd"/>
      <w:r w:rsidRPr="000C0549">
        <w:rPr>
          <w:rFonts w:ascii="Times New Roman" w:hAnsi="Times New Roman" w:cs="Times New Roman"/>
          <w:sz w:val="24"/>
          <w:szCs w:val="24"/>
        </w:rPr>
        <w:t>родрома Нижний Новгоро</w:t>
      </w:r>
      <w:r>
        <w:rPr>
          <w:rFonts w:ascii="Times New Roman" w:hAnsi="Times New Roman" w:cs="Times New Roman"/>
          <w:sz w:val="24"/>
          <w:szCs w:val="24"/>
        </w:rPr>
        <w:t>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(реестровый номер: </w:t>
      </w:r>
      <w:r w:rsidRPr="000C0549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C0549">
        <w:rPr>
          <w:rFonts w:ascii="Times New Roman" w:hAnsi="Times New Roman" w:cs="Times New Roman"/>
          <w:sz w:val="24"/>
          <w:szCs w:val="24"/>
        </w:rPr>
        <w:t xml:space="preserve"> 4 (реестровый номер: 52:00-6.1083)(сектор 29)</w:t>
      </w:r>
      <w:r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0C0549" w:rsidRPr="000C0549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0C0549">
        <w:rPr>
          <w:rFonts w:ascii="Times New Roman" w:hAnsi="Times New Roman" w:cs="Times New Roman"/>
          <w:sz w:val="24"/>
          <w:szCs w:val="24"/>
        </w:rPr>
        <w:t xml:space="preserve"> аэ</w:t>
      </w:r>
      <w:proofErr w:type="gramEnd"/>
      <w:r w:rsidRPr="000C0549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0C0549">
        <w:rPr>
          <w:rFonts w:ascii="Times New Roman" w:hAnsi="Times New Roman" w:cs="Times New Roman"/>
          <w:sz w:val="24"/>
          <w:szCs w:val="24"/>
        </w:rPr>
        <w:t>) (реестровый номер: 52:00-6.1079):</w:t>
      </w:r>
      <w:proofErr w:type="spellStart"/>
      <w:r w:rsidRPr="000C054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C0549">
        <w:rPr>
          <w:rFonts w:ascii="Times New Roman" w:hAnsi="Times New Roman" w:cs="Times New Roman"/>
          <w:sz w:val="24"/>
          <w:szCs w:val="24"/>
        </w:rPr>
        <w:t xml:space="preserve"> 6 (реестровый номер: 52:00-6.1078)</w:t>
      </w:r>
      <w:r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0C0549" w:rsidRPr="000C0549" w:rsidRDefault="000C0549" w:rsidP="000C0549">
      <w:pPr>
        <w:pStyle w:val="ConsPlusNormal"/>
        <w:spacing w:line="360" w:lineRule="auto"/>
        <w:ind w:firstLine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зоне</w:t>
      </w:r>
      <w:r w:rsidRPr="000C0549">
        <w:rPr>
          <w:rFonts w:ascii="Times New Roman" w:hAnsi="Times New Roman" w:cs="Times New Roman"/>
          <w:sz w:val="24"/>
          <w:szCs w:val="24"/>
        </w:rPr>
        <w:t xml:space="preserve"> инженерной подготовки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(полностью).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98734D" w:rsidRPr="009873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</w:t>
      </w:r>
      <w:r w:rsidR="005E1B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98734D" w:rsidRPr="009873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(зона индивидуальной </w:t>
      </w:r>
      <w:r w:rsidR="005E1B4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низко</w:t>
      </w:r>
      <w:r w:rsidR="0098734D" w:rsidRPr="0098734D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плотной жилой застройки)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 xml:space="preserve">м до </w:t>
      </w:r>
      <w:bookmarkStart w:id="0" w:name="_Hlk70575109"/>
      <w:r w:rsidRPr="0070138A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>м до хозяйственных построек, строений, сооружений вспомогательного и</w:t>
      </w:r>
      <w:r>
        <w:rPr>
          <w:rFonts w:ascii="Times New Roman" w:hAnsi="Times New Roman" w:cs="Times New Roman"/>
          <w:sz w:val="24"/>
          <w:szCs w:val="24"/>
        </w:rPr>
        <w:t>спользования, открытых стоянок.</w:t>
      </w:r>
    </w:p>
    <w:p w:rsidR="001A2CA4" w:rsidRPr="0070138A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C33209" w:rsidRPr="00567D2E" w:rsidRDefault="00C33209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107B49" w:rsidRDefault="00107B4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объекта на земельном участке к сетям водоснабжения и водоотведения отсутствует, в связи с отсутствием </w:t>
      </w:r>
      <w:r w:rsidRPr="005B3D59">
        <w:rPr>
          <w:rFonts w:ascii="Times New Roman" w:hAnsi="Times New Roman" w:cs="Times New Roman"/>
          <w:sz w:val="24"/>
          <w:szCs w:val="24"/>
        </w:rPr>
        <w:t xml:space="preserve">в районе вышеуказанного земельного участка </w:t>
      </w:r>
      <w:r>
        <w:rPr>
          <w:rFonts w:ascii="Times New Roman" w:hAnsi="Times New Roman" w:cs="Times New Roman"/>
          <w:sz w:val="24"/>
          <w:szCs w:val="24"/>
        </w:rPr>
        <w:t>сетей водопровода и канализации, находящихся на обслуживан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«Нижегородский водоканал».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Default="005B3D59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lastRenderedPageBreak/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8D4FE5" w:rsidRPr="00DD091B" w:rsidRDefault="008D4FE5" w:rsidP="00DD091B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DD091B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7B49">
        <w:rPr>
          <w:rFonts w:ascii="Times New Roman" w:eastAsiaTheme="minorHAnsi" w:hAnsi="Times New Roman" w:cs="Times New Roman"/>
          <w:sz w:val="24"/>
          <w:szCs w:val="24"/>
          <w:lang w:eastAsia="en-US"/>
        </w:rPr>
        <w:t>10/01-13 от 09.02.2024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, сроком д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>ействия до 09.0</w:t>
      </w:r>
      <w:r w:rsidR="00107B49">
        <w:rPr>
          <w:rFonts w:ascii="Times New Roman" w:eastAsiaTheme="minorHAnsi" w:hAnsi="Times New Roman" w:cs="Times New Roman"/>
          <w:sz w:val="24"/>
          <w:szCs w:val="24"/>
          <w:lang w:eastAsia="en-US"/>
        </w:rPr>
        <w:t>2.2027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- тип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конструкция фундамента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проектируемого сооружения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(здания)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мероприятия по защите предоставленной территории от воздействия грунтовых вод (по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устройству дренажной системы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проект по инженерной подготовке территории, в котором предусмотреть правильную вертикальную планировку и организацию поверхностного стока с пред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ставленной территории, а также при необходимости мероприятия по защите территории от подтопления, затопления и негативного воздействия о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>т водных объектов, расположенного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прилегающей к </w:t>
      </w:r>
      <w:r w:rsidR="00773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данному 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земельному участку территории.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мероприятия по защите котлована под фундамент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вышеуказанные  мероприятия выполнить с привлечением специализированной, лицензированной организации. 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proofErr w:type="gram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по инженерно-геологическим изысканиям, проект по инженерной подготовке территории, вертикальной планировке и организации поверхностного стока, 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включая мероприятия по инженерной защите территории (при необходимости), проект по устройству дренажной системы, проект фундаментов сооружения (здания) 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представить в МКУ «УИЗТ </w:t>
      </w:r>
      <w:proofErr w:type="spell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3E514F" w:rsidRDefault="000C0549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="003E514F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 разработки и согласования проектной документации выполнить мероприятия </w:t>
      </w:r>
      <w:proofErr w:type="gramStart"/>
      <w:r w:rsidR="003E514F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="003E514F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разработанного проекта.</w:t>
      </w:r>
    </w:p>
    <w:p w:rsidR="008D4FE5" w:rsidRPr="00DD091B" w:rsidRDefault="000C0549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3E514F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проектировании и производстве работ 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3E514F" w:rsidRDefault="00DD091B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="000C054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Капитальные строения в береговой полосе водного объекта, расположенного на прилегающей к предоставленному земельному участку территории не возводить, иные препятствия не создавать.</w:t>
      </w:r>
    </w:p>
    <w:p w:rsidR="003E514F" w:rsidRDefault="000C0549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проектировании мероприятий по инженерной защите территории возможна 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корректировка данных технических условий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8D4FE5" w:rsidRPr="00DD091B" w:rsidRDefault="000C0549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окончании строительства объектов инженерной защиты выполнить исполнительную съемку и предоставить ее в 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DC50D8">
        <w:rPr>
          <w:rFonts w:ascii="Times New Roman" w:eastAsiaTheme="minorHAnsi" w:hAnsi="Times New Roman" w:cs="Times New Roman"/>
          <w:sz w:val="24"/>
          <w:szCs w:val="24"/>
          <w:lang w:eastAsia="en-US"/>
        </w:rPr>
        <w:t>епартамент градостроительного развития и архитектуры</w:t>
      </w:r>
      <w:r w:rsidR="003E5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4FE5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нанесения на план города М 1:500.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получения справки необходимо представить в МКУ «УИЗТ </w:t>
      </w:r>
      <w:proofErr w:type="spell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» исполнительную съемку.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8F461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5B3D59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8F4611" w:rsidRDefault="008F4611" w:rsidP="008F46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8F4611" w:rsidRDefault="008F4611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объекта капитального строительства на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</w:t>
      </w:r>
      <w:r w:rsidR="00DC50D8">
        <w:rPr>
          <w:rFonts w:ascii="Times New Roman" w:hAnsi="Times New Roman" w:cs="Times New Roman"/>
          <w:sz w:val="24"/>
          <w:szCs w:val="24"/>
        </w:rPr>
        <w:t>оизведено в точке подключения: с</w:t>
      </w:r>
      <w:r>
        <w:rPr>
          <w:rFonts w:ascii="Times New Roman" w:hAnsi="Times New Roman" w:cs="Times New Roman"/>
          <w:sz w:val="24"/>
          <w:szCs w:val="24"/>
        </w:rPr>
        <w:t>уществующий узел доступа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ижний Новгород, п.Новое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19-я линия , 3.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к сети электросвязи ПАО</w:t>
      </w:r>
      <w:r w:rsidR="00551D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необходим запрос </w:t>
      </w:r>
      <w:r w:rsidR="008F4611">
        <w:rPr>
          <w:rFonts w:ascii="Times New Roman" w:hAnsi="Times New Roman" w:cs="Times New Roman"/>
          <w:sz w:val="24"/>
          <w:szCs w:val="24"/>
        </w:rPr>
        <w:t>правообладателя земельного участка</w:t>
      </w:r>
      <w:r w:rsidRPr="005B3D59">
        <w:rPr>
          <w:rFonts w:ascii="Times New Roman" w:hAnsi="Times New Roman" w:cs="Times New Roman"/>
          <w:sz w:val="24"/>
          <w:szCs w:val="24"/>
        </w:rPr>
        <w:t xml:space="preserve"> на выдачу технических ус</w:t>
      </w:r>
      <w:r w:rsidR="008F4611">
        <w:rPr>
          <w:rFonts w:ascii="Times New Roman" w:hAnsi="Times New Roman" w:cs="Times New Roman"/>
          <w:sz w:val="24"/>
          <w:szCs w:val="24"/>
        </w:rPr>
        <w:t>ловий подключения</w:t>
      </w:r>
      <w:r w:rsidR="00DC50D8">
        <w:rPr>
          <w:rFonts w:ascii="Times New Roman" w:hAnsi="Times New Roman" w:cs="Times New Roman"/>
          <w:sz w:val="24"/>
          <w:szCs w:val="24"/>
        </w:rPr>
        <w:t xml:space="preserve"> или заявки о заключении договора о подключении в порядке, определенном действующим законодательством</w:t>
      </w:r>
      <w:r w:rsidRPr="005B3D59">
        <w:rPr>
          <w:rFonts w:ascii="Times New Roman" w:hAnsi="Times New Roman" w:cs="Times New Roman"/>
          <w:sz w:val="24"/>
          <w:szCs w:val="24"/>
        </w:rPr>
        <w:t>.</w:t>
      </w:r>
      <w:r w:rsidR="00DC50D8">
        <w:rPr>
          <w:rFonts w:ascii="Times New Roman" w:hAnsi="Times New Roman" w:cs="Times New Roman"/>
          <w:sz w:val="24"/>
          <w:szCs w:val="24"/>
        </w:rPr>
        <w:t xml:space="preserve">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 w:rsidR="00DC50D8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DC50D8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8D4FE5">
        <w:rPr>
          <w:rFonts w:ascii="Times New Roman" w:hAnsi="Times New Roman" w:cs="Times New Roman"/>
          <w:sz w:val="24"/>
          <w:szCs w:val="24"/>
        </w:rPr>
        <w:t>(</w:t>
      </w:r>
      <w:r w:rsidR="008D4FE5" w:rsidRPr="008D4FE5">
        <w:rPr>
          <w:rFonts w:ascii="Times New Roman" w:hAnsi="Times New Roman" w:cs="Times New Roman"/>
          <w:sz w:val="24"/>
          <w:szCs w:val="24"/>
        </w:rPr>
        <w:t>ОО</w:t>
      </w:r>
      <w:r w:rsidRPr="008D4FE5">
        <w:rPr>
          <w:rFonts w:ascii="Times New Roman" w:hAnsi="Times New Roman" w:cs="Times New Roman"/>
          <w:sz w:val="24"/>
          <w:szCs w:val="24"/>
        </w:rPr>
        <w:t>О</w:t>
      </w:r>
      <w:r w:rsidR="00551DBA" w:rsidRPr="008D4FE5">
        <w:rPr>
          <w:rFonts w:ascii="Times New Roman" w:hAnsi="Times New Roman" w:cs="Times New Roman"/>
          <w:sz w:val="24"/>
          <w:szCs w:val="24"/>
        </w:rPr>
        <w:t> </w:t>
      </w:r>
      <w:r w:rsidRPr="008D4FE5">
        <w:rPr>
          <w:rFonts w:ascii="Times New Roman" w:hAnsi="Times New Roman" w:cs="Times New Roman"/>
          <w:sz w:val="24"/>
          <w:szCs w:val="24"/>
        </w:rPr>
        <w:t>«Тепло</w:t>
      </w:r>
      <w:r w:rsidR="008D4FE5" w:rsidRPr="008D4FE5">
        <w:rPr>
          <w:rFonts w:ascii="Times New Roman" w:hAnsi="Times New Roman" w:cs="Times New Roman"/>
          <w:sz w:val="24"/>
          <w:szCs w:val="24"/>
        </w:rPr>
        <w:t>сети</w:t>
      </w:r>
      <w:r w:rsidRPr="008D4FE5">
        <w:rPr>
          <w:rFonts w:ascii="Times New Roman" w:hAnsi="Times New Roman" w:cs="Times New Roman"/>
          <w:sz w:val="24"/>
          <w:szCs w:val="24"/>
        </w:rPr>
        <w:t xml:space="preserve">») </w:t>
      </w:r>
      <w:r w:rsidRPr="005B3D59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</w:t>
      </w:r>
      <w:r w:rsidR="008D4FE5" w:rsidRPr="008D4FE5">
        <w:rPr>
          <w:rFonts w:ascii="Times New Roman" w:hAnsi="Times New Roman" w:cs="Times New Roman"/>
          <w:sz w:val="24"/>
          <w:szCs w:val="24"/>
        </w:rPr>
        <w:t>сетей инженерно-технического обеспечения</w:t>
      </w:r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D8">
        <w:rPr>
          <w:rFonts w:ascii="Times New Roman" w:hAnsi="Times New Roman" w:cs="Times New Roman"/>
          <w:b/>
          <w:sz w:val="24"/>
          <w:szCs w:val="24"/>
        </w:rPr>
        <w:t>320</w:t>
      </w:r>
      <w:r w:rsidR="00DC50D8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DC50D8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3D2797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92B">
        <w:rPr>
          <w:rFonts w:ascii="Times New Roman" w:hAnsi="Times New Roman" w:cs="Times New Roman"/>
          <w:b/>
          <w:sz w:val="24"/>
          <w:szCs w:val="24"/>
        </w:rPr>
        <w:t>636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9192B">
        <w:rPr>
          <w:rFonts w:ascii="Times New Roman" w:hAnsi="Times New Roman" w:cs="Times New Roman"/>
          <w:b/>
          <w:sz w:val="24"/>
          <w:szCs w:val="24"/>
        </w:rPr>
        <w:t>893</w:t>
      </w:r>
      <w:r w:rsidR="00E20911">
        <w:rPr>
          <w:rFonts w:ascii="Times New Roman" w:hAnsi="Times New Roman" w:cs="Times New Roman"/>
          <w:b/>
          <w:sz w:val="24"/>
          <w:szCs w:val="24"/>
        </w:rPr>
        <w:t xml:space="preserve"> (шестьсот </w:t>
      </w:r>
      <w:r w:rsidR="00C25AE4">
        <w:rPr>
          <w:rFonts w:ascii="Times New Roman" w:hAnsi="Times New Roman" w:cs="Times New Roman"/>
          <w:b/>
          <w:sz w:val="24"/>
          <w:szCs w:val="24"/>
        </w:rPr>
        <w:t>три</w:t>
      </w:r>
      <w:r w:rsidR="00E20911">
        <w:rPr>
          <w:rFonts w:ascii="Times New Roman" w:hAnsi="Times New Roman" w:cs="Times New Roman"/>
          <w:b/>
          <w:sz w:val="24"/>
          <w:szCs w:val="24"/>
        </w:rPr>
        <w:t>дцать</w:t>
      </w:r>
      <w:r w:rsidR="0029192B">
        <w:rPr>
          <w:rFonts w:ascii="Times New Roman" w:hAnsi="Times New Roman" w:cs="Times New Roman"/>
          <w:b/>
          <w:sz w:val="24"/>
          <w:szCs w:val="24"/>
        </w:rPr>
        <w:t xml:space="preserve"> шесть тысяч восемьсот девяносто три) рубля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Default="00DD091B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29192B">
        <w:rPr>
          <w:rFonts w:ascii="Times New Roman" w:hAnsi="Times New Roman" w:cs="Times New Roman"/>
          <w:bCs/>
          <w:sz w:val="24"/>
          <w:szCs w:val="24"/>
        </w:rPr>
        <w:t>от 27.12.2023</w:t>
      </w:r>
      <w:r w:rsidR="0029192B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29192B">
        <w:rPr>
          <w:rFonts w:ascii="Times New Roman" w:hAnsi="Times New Roman" w:cs="Times New Roman"/>
          <w:bCs/>
          <w:sz w:val="24"/>
          <w:szCs w:val="24"/>
        </w:rPr>
        <w:t>10009</w:t>
      </w:r>
      <w:r>
        <w:rPr>
          <w:rFonts w:ascii="Times New Roman" w:hAnsi="Times New Roman" w:cs="Times New Roman"/>
          <w:bCs/>
          <w:sz w:val="24"/>
          <w:szCs w:val="24"/>
        </w:rPr>
        <w:t xml:space="preserve">/23 </w:t>
      </w:r>
      <w:r w:rsidRPr="00572A1D">
        <w:rPr>
          <w:rFonts w:ascii="Times New Roman" w:hAnsi="Times New Roman" w:cs="Times New Roman"/>
          <w:bCs/>
          <w:sz w:val="24"/>
          <w:szCs w:val="24"/>
        </w:rPr>
        <w:t>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CA79B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 w:rsidRPr="00E22A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>52:18:0040002:155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>
        <w:rPr>
          <w:rFonts w:ascii="Times New Roman" w:hAnsi="Times New Roman" w:cs="Times New Roman"/>
          <w:sz w:val="24"/>
          <w:szCs w:val="24"/>
        </w:rPr>
        <w:t>1 152</w:t>
      </w:r>
      <w:r w:rsidR="00CA79BC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645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A79BC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r w:rsidR="00CA79BC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CA79BC">
        <w:rPr>
          <w:rFonts w:ascii="Times New Roman" w:hAnsi="Times New Roman" w:cs="Times New Roman"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CA79BC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CA79BC" w:rsidRPr="00BB6701">
        <w:rPr>
          <w:rFonts w:ascii="Times New Roman" w:hAnsi="Times New Roman" w:cs="Times New Roman"/>
          <w:sz w:val="24"/>
          <w:szCs w:val="24"/>
        </w:rPr>
        <w:t>, ул.</w:t>
      </w:r>
      <w:r w:rsidR="00CA79BC">
        <w:rPr>
          <w:rFonts w:ascii="Times New Roman" w:hAnsi="Times New Roman" w:cs="Times New Roman"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>
        <w:rPr>
          <w:rFonts w:ascii="Times New Roman" w:hAnsi="Times New Roman" w:cs="Times New Roman"/>
          <w:sz w:val="24"/>
          <w:szCs w:val="24"/>
        </w:rPr>
        <w:t>, выполненног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29192B">
        <w:rPr>
          <w:rFonts w:ascii="Times New Roman" w:hAnsi="Times New Roman" w:cs="Times New Roman"/>
          <w:b/>
          <w:sz w:val="24"/>
          <w:szCs w:val="24"/>
        </w:rPr>
        <w:t>19 10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9192B">
        <w:rPr>
          <w:rFonts w:ascii="Times New Roman" w:hAnsi="Times New Roman" w:cs="Times New Roman"/>
          <w:b/>
          <w:sz w:val="24"/>
          <w:szCs w:val="24"/>
        </w:rPr>
        <w:t>636 893 (шестьсот тридцать шесть тысяч восемьсот девяносто три) рубля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</w:t>
      </w:r>
      <w:r w:rsidRPr="003D2797">
        <w:rPr>
          <w:rFonts w:ascii="Times New Roman" w:hAnsi="Times New Roman" w:cs="Times New Roman"/>
          <w:b/>
          <w:sz w:val="24"/>
          <w:szCs w:val="24"/>
        </w:rPr>
        <w:t>:</w:t>
      </w:r>
      <w:r w:rsidRPr="003D2797">
        <w:rPr>
          <w:rFonts w:ascii="Times New Roman" w:hAnsi="Times New Roman" w:cs="Times New Roman"/>
          <w:sz w:val="24"/>
          <w:szCs w:val="24"/>
        </w:rPr>
        <w:t xml:space="preserve"> </w:t>
      </w:r>
      <w:r w:rsidR="007A04AA">
        <w:rPr>
          <w:rFonts w:ascii="Times New Roman" w:hAnsi="Times New Roman" w:cs="Times New Roman"/>
          <w:sz w:val="24"/>
          <w:szCs w:val="24"/>
        </w:rPr>
        <w:t>07.06.2024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8F3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hAnsi="Times New Roman" w:cs="Times New Roman"/>
          <w:sz w:val="24"/>
          <w:szCs w:val="24"/>
        </w:rPr>
        <w:t>09.07.2024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A04AA">
        <w:rPr>
          <w:rFonts w:ascii="Times New Roman" w:hAnsi="Times New Roman" w:cs="Times New Roman"/>
          <w:sz w:val="24"/>
          <w:szCs w:val="24"/>
        </w:rPr>
        <w:t>10.07</w:t>
      </w:r>
      <w:r w:rsidR="0029192B">
        <w:rPr>
          <w:rFonts w:ascii="Times New Roman" w:hAnsi="Times New Roman" w:cs="Times New Roman"/>
          <w:sz w:val="24"/>
          <w:szCs w:val="24"/>
        </w:rPr>
        <w:t>.2024</w:t>
      </w:r>
      <w:r w:rsidRPr="00531E9A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29192B">
        <w:rPr>
          <w:rFonts w:ascii="Times New Roman" w:hAnsi="Times New Roman" w:cs="Times New Roman"/>
          <w:sz w:val="24"/>
          <w:szCs w:val="24"/>
        </w:rPr>
        <w:t>11.07</w:t>
      </w:r>
      <w:r w:rsidRPr="00531E9A">
        <w:rPr>
          <w:rFonts w:ascii="Times New Roman" w:hAnsi="Times New Roman" w:cs="Times New Roman"/>
          <w:sz w:val="24"/>
          <w:szCs w:val="24"/>
        </w:rPr>
        <w:t>.2</w:t>
      </w:r>
      <w:r w:rsidR="0029192B">
        <w:rPr>
          <w:rFonts w:ascii="Times New Roman" w:hAnsi="Times New Roman" w:cs="Times New Roman"/>
          <w:sz w:val="24"/>
          <w:szCs w:val="24"/>
        </w:rPr>
        <w:t>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DC50D8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lastRenderedPageBreak/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lastRenderedPageBreak/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24" w:rsidRDefault="00002F24" w:rsidP="00414F0A">
      <w:pPr>
        <w:spacing w:after="0" w:line="240" w:lineRule="auto"/>
      </w:pPr>
      <w:r>
        <w:separator/>
      </w:r>
    </w:p>
  </w:endnote>
  <w:endnote w:type="continuationSeparator" w:id="0">
    <w:p w:rsidR="00002F24" w:rsidRDefault="00002F24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24" w:rsidRDefault="00002F24" w:rsidP="00414F0A">
      <w:pPr>
        <w:spacing w:after="0" w:line="240" w:lineRule="auto"/>
      </w:pPr>
      <w:r>
        <w:separator/>
      </w:r>
    </w:p>
  </w:footnote>
  <w:footnote w:type="continuationSeparator" w:id="0">
    <w:p w:rsidR="00002F24" w:rsidRDefault="00002F24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DC50D8" w:rsidRDefault="00044B94">
        <w:pPr>
          <w:pStyle w:val="a3"/>
          <w:jc w:val="center"/>
        </w:pPr>
        <w:fldSimple w:instr=" PAGE   \* MERGEFORMAT ">
          <w:r w:rsidR="00F058F3">
            <w:rPr>
              <w:noProof/>
            </w:rPr>
            <w:t>6</w:t>
          </w:r>
        </w:fldSimple>
      </w:p>
    </w:sdtContent>
  </w:sdt>
  <w:p w:rsidR="00DC50D8" w:rsidRDefault="00DC50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F24"/>
    <w:rsid w:val="000052E9"/>
    <w:rsid w:val="0003088B"/>
    <w:rsid w:val="00035379"/>
    <w:rsid w:val="00044B94"/>
    <w:rsid w:val="000736E4"/>
    <w:rsid w:val="000A1F00"/>
    <w:rsid w:val="000A223E"/>
    <w:rsid w:val="000B4978"/>
    <w:rsid w:val="000C0549"/>
    <w:rsid w:val="000D0416"/>
    <w:rsid w:val="000D1260"/>
    <w:rsid w:val="000D1D3A"/>
    <w:rsid w:val="000E39A6"/>
    <w:rsid w:val="000E55C5"/>
    <w:rsid w:val="00107B49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2545"/>
    <w:rsid w:val="0028523C"/>
    <w:rsid w:val="0029192B"/>
    <w:rsid w:val="002A2C57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2797"/>
    <w:rsid w:val="003D36C4"/>
    <w:rsid w:val="003D6508"/>
    <w:rsid w:val="003E514F"/>
    <w:rsid w:val="003F78C0"/>
    <w:rsid w:val="004045E7"/>
    <w:rsid w:val="00412DB8"/>
    <w:rsid w:val="00414F0A"/>
    <w:rsid w:val="0041645C"/>
    <w:rsid w:val="00416F8A"/>
    <w:rsid w:val="00441C92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C2BDE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6F75"/>
    <w:rsid w:val="005872AD"/>
    <w:rsid w:val="00590A27"/>
    <w:rsid w:val="005A2470"/>
    <w:rsid w:val="005A4203"/>
    <w:rsid w:val="005A65A5"/>
    <w:rsid w:val="005B07E3"/>
    <w:rsid w:val="005B3D59"/>
    <w:rsid w:val="005D16E4"/>
    <w:rsid w:val="005E1B40"/>
    <w:rsid w:val="005F1211"/>
    <w:rsid w:val="005F6F3F"/>
    <w:rsid w:val="00605181"/>
    <w:rsid w:val="006149F4"/>
    <w:rsid w:val="006232BB"/>
    <w:rsid w:val="006316E2"/>
    <w:rsid w:val="0065222C"/>
    <w:rsid w:val="00654DCB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73C63"/>
    <w:rsid w:val="00785D73"/>
    <w:rsid w:val="007A04AA"/>
    <w:rsid w:val="007B07AD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8256C"/>
    <w:rsid w:val="00885CB0"/>
    <w:rsid w:val="008930DC"/>
    <w:rsid w:val="008A43DC"/>
    <w:rsid w:val="008D4092"/>
    <w:rsid w:val="008D4FE5"/>
    <w:rsid w:val="008D7BA7"/>
    <w:rsid w:val="008F4611"/>
    <w:rsid w:val="008F4DD1"/>
    <w:rsid w:val="008F54AF"/>
    <w:rsid w:val="00902C90"/>
    <w:rsid w:val="00924E8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1BA0"/>
    <w:rsid w:val="00B420F0"/>
    <w:rsid w:val="00B53550"/>
    <w:rsid w:val="00B6340D"/>
    <w:rsid w:val="00B941CB"/>
    <w:rsid w:val="00BA7D0A"/>
    <w:rsid w:val="00BB285F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432AB"/>
    <w:rsid w:val="00C50427"/>
    <w:rsid w:val="00C57A7D"/>
    <w:rsid w:val="00C81B2E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96CF6"/>
    <w:rsid w:val="00DB4952"/>
    <w:rsid w:val="00DB65B0"/>
    <w:rsid w:val="00DC16E3"/>
    <w:rsid w:val="00DC50D8"/>
    <w:rsid w:val="00DD091B"/>
    <w:rsid w:val="00E16B23"/>
    <w:rsid w:val="00E20911"/>
    <w:rsid w:val="00E2231B"/>
    <w:rsid w:val="00E22A5E"/>
    <w:rsid w:val="00E255F1"/>
    <w:rsid w:val="00E262BC"/>
    <w:rsid w:val="00E275F9"/>
    <w:rsid w:val="00E31047"/>
    <w:rsid w:val="00E5186C"/>
    <w:rsid w:val="00E61E5B"/>
    <w:rsid w:val="00E737A4"/>
    <w:rsid w:val="00E80D72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058F3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DFCF-98D0-484E-A9B3-600645E5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11</cp:revision>
  <cp:lastPrinted>2024-06-07T08:17:00Z</cp:lastPrinted>
  <dcterms:created xsi:type="dcterms:W3CDTF">2023-10-11T10:49:00Z</dcterms:created>
  <dcterms:modified xsi:type="dcterms:W3CDTF">2024-06-07T08:24:00Z</dcterms:modified>
</cp:coreProperties>
</file>