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213209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3F43F0">
        <w:rPr>
          <w:rFonts w:ascii="Times New Roman" w:hAnsi="Times New Roman" w:cs="Times New Roman"/>
          <w:sz w:val="24"/>
          <w:szCs w:val="24"/>
        </w:rPr>
        <w:t>постановления</w:t>
      </w:r>
      <w:r w:rsidRPr="00F9625A">
        <w:rPr>
          <w:rFonts w:ascii="Times New Roman" w:hAnsi="Times New Roman" w:cs="Times New Roman"/>
          <w:sz w:val="24"/>
          <w:szCs w:val="24"/>
        </w:rPr>
        <w:t xml:space="preserve">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DB437B">
        <w:rPr>
          <w:rFonts w:ascii="Times New Roman" w:hAnsi="Times New Roman" w:cs="Times New Roman"/>
          <w:sz w:val="24"/>
          <w:szCs w:val="24"/>
        </w:rPr>
        <w:t>20.06</w:t>
      </w:r>
      <w:r w:rsidR="006E1EE4">
        <w:rPr>
          <w:rFonts w:ascii="Times New Roman" w:hAnsi="Times New Roman" w:cs="Times New Roman"/>
          <w:sz w:val="24"/>
          <w:szCs w:val="24"/>
        </w:rPr>
        <w:t>.2024</w:t>
      </w:r>
      <w:r w:rsidR="00DB437B">
        <w:rPr>
          <w:rFonts w:ascii="Times New Roman" w:hAnsi="Times New Roman" w:cs="Times New Roman"/>
          <w:sz w:val="24"/>
          <w:szCs w:val="24"/>
        </w:rPr>
        <w:t xml:space="preserve"> № </w:t>
      </w:r>
      <w:r w:rsidR="0032661A">
        <w:rPr>
          <w:rFonts w:ascii="Times New Roman" w:hAnsi="Times New Roman" w:cs="Times New Roman"/>
          <w:sz w:val="24"/>
          <w:szCs w:val="24"/>
        </w:rPr>
        <w:t>4698</w:t>
      </w:r>
      <w:r w:rsidR="00C20B4F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213209">
        <w:rPr>
          <w:rFonts w:ascii="Times New Roman" w:hAnsi="Times New Roman" w:cs="Times New Roman"/>
          <w:sz w:val="24"/>
          <w:szCs w:val="24"/>
        </w:rPr>
        <w:t>«О проведен</w:t>
      </w:r>
      <w:proofErr w:type="gramStart"/>
      <w:r w:rsidR="009B35AE" w:rsidRPr="0021320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35AE" w:rsidRPr="00213209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BA7D0A" w:rsidRPr="0021320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 w:rsidR="009B35AE" w:rsidRPr="00213209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="00545A35" w:rsidRPr="00213209">
        <w:rPr>
          <w:rFonts w:ascii="Times New Roman" w:hAnsi="Times New Roman" w:cs="Times New Roman"/>
          <w:sz w:val="24"/>
          <w:szCs w:val="24"/>
        </w:rPr>
        <w:t xml:space="preserve"> </w:t>
      </w:r>
      <w:r w:rsidR="0032661A">
        <w:rPr>
          <w:rStyle w:val="Datenum"/>
          <w:rFonts w:ascii="Times New Roman" w:hAnsi="Times New Roman" w:cs="Times New Roman"/>
          <w:sz w:val="24"/>
          <w:szCs w:val="24"/>
        </w:rPr>
        <w:t>Нижегородская область, город</w:t>
      </w:r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 xml:space="preserve"> Нижний Но</w:t>
      </w:r>
      <w:r w:rsidR="0032661A">
        <w:rPr>
          <w:rStyle w:val="Datenum"/>
          <w:rFonts w:ascii="Times New Roman" w:hAnsi="Times New Roman" w:cs="Times New Roman"/>
          <w:sz w:val="24"/>
          <w:szCs w:val="24"/>
        </w:rPr>
        <w:t>вгород, Автозаводский район, п</w:t>
      </w:r>
      <w:proofErr w:type="gramStart"/>
      <w:r w:rsidR="0032661A">
        <w:rPr>
          <w:rStyle w:val="Datenum"/>
          <w:rFonts w:ascii="Times New Roman" w:hAnsi="Times New Roman" w:cs="Times New Roman"/>
          <w:sz w:val="24"/>
          <w:szCs w:val="24"/>
        </w:rPr>
        <w:t>.</w:t>
      </w:r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>Н</w:t>
      </w:r>
      <w:proofErr w:type="gramEnd"/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 xml:space="preserve">овое </w:t>
      </w:r>
      <w:proofErr w:type="spellStart"/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>, ул. 32-я линия, кадастровый номер 52:18:0</w:t>
      </w:r>
      <w:r w:rsidR="0032661A">
        <w:rPr>
          <w:rStyle w:val="Datenum"/>
          <w:rFonts w:ascii="Times New Roman" w:hAnsi="Times New Roman" w:cs="Times New Roman"/>
          <w:sz w:val="24"/>
          <w:szCs w:val="24"/>
        </w:rPr>
        <w:t>040003:116</w:t>
      </w:r>
      <w:r w:rsidR="00213209" w:rsidRPr="00213209">
        <w:rPr>
          <w:rStyle w:val="Datenum"/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F36743" w:rsidRPr="00213209">
        <w:rPr>
          <w:rFonts w:ascii="Times New Roman" w:hAnsi="Times New Roman" w:cs="Times New Roman"/>
          <w:sz w:val="24"/>
          <w:szCs w:val="24"/>
        </w:rPr>
        <w:t>»</w:t>
      </w:r>
      <w:r w:rsidR="00E16663" w:rsidRPr="00213209">
        <w:rPr>
          <w:rFonts w:ascii="Times New Roman" w:hAnsi="Times New Roman" w:cs="Times New Roman"/>
          <w:sz w:val="24"/>
          <w:szCs w:val="24"/>
        </w:rPr>
        <w:t>.</w:t>
      </w:r>
    </w:p>
    <w:p w:rsidR="00F9625A" w:rsidRPr="00213209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209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213209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213209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21320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967A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7B" w:rsidRDefault="00DB437B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37B" w:rsidRDefault="00DB437B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4.  </w:t>
      </w:r>
      <w:r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6E1EE4" w:rsidRPr="006E1EE4">
        <w:rPr>
          <w:rFonts w:ascii="Times New Roman" w:hAnsi="Times New Roman" w:cs="Times New Roman"/>
          <w:sz w:val="24"/>
          <w:szCs w:val="24"/>
        </w:rPr>
        <w:t xml:space="preserve"> </w:t>
      </w:r>
      <w:r w:rsidR="00545A35" w:rsidRPr="00545A35">
        <w:rPr>
          <w:rStyle w:val="Datenum"/>
          <w:rFonts w:ascii="Times New Roman" w:hAnsi="Times New Roman" w:cs="Times New Roman"/>
          <w:sz w:val="24"/>
          <w:szCs w:val="24"/>
        </w:rPr>
        <w:t>Нижегородская область, город Нижний Новгород, Автозаводски</w:t>
      </w:r>
      <w:r w:rsidR="0032661A">
        <w:rPr>
          <w:rStyle w:val="Datenum"/>
          <w:rFonts w:ascii="Times New Roman" w:hAnsi="Times New Roman" w:cs="Times New Roman"/>
          <w:sz w:val="24"/>
          <w:szCs w:val="24"/>
        </w:rPr>
        <w:t>й район, п</w:t>
      </w:r>
      <w:proofErr w:type="gramStart"/>
      <w:r w:rsidR="0032661A">
        <w:rPr>
          <w:rStyle w:val="Datenum"/>
          <w:rFonts w:ascii="Times New Roman" w:hAnsi="Times New Roman" w:cs="Times New Roman"/>
          <w:sz w:val="24"/>
          <w:szCs w:val="24"/>
        </w:rPr>
        <w:t>.Н</w:t>
      </w:r>
      <w:proofErr w:type="gramEnd"/>
      <w:r w:rsidR="0032661A">
        <w:rPr>
          <w:rStyle w:val="Datenum"/>
          <w:rFonts w:ascii="Times New Roman" w:hAnsi="Times New Roman" w:cs="Times New Roman"/>
          <w:sz w:val="24"/>
          <w:szCs w:val="24"/>
        </w:rPr>
        <w:t xml:space="preserve">овое </w:t>
      </w:r>
      <w:proofErr w:type="spellStart"/>
      <w:r w:rsidR="0032661A">
        <w:rPr>
          <w:rStyle w:val="Datenum"/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32661A">
        <w:rPr>
          <w:rStyle w:val="Datenum"/>
          <w:rFonts w:ascii="Times New Roman" w:hAnsi="Times New Roman" w:cs="Times New Roman"/>
          <w:sz w:val="24"/>
          <w:szCs w:val="24"/>
        </w:rPr>
        <w:t>, ул. 32</w:t>
      </w:r>
      <w:r w:rsidR="00545A35" w:rsidRPr="00545A35">
        <w:rPr>
          <w:rStyle w:val="Datenum"/>
          <w:rFonts w:ascii="Times New Roman" w:hAnsi="Times New Roman" w:cs="Times New Roman"/>
          <w:sz w:val="24"/>
          <w:szCs w:val="24"/>
        </w:rPr>
        <w:t>-я линия, кадастровый номер 52:18:0040003:11</w:t>
      </w:r>
      <w:r w:rsidR="0032661A">
        <w:rPr>
          <w:rStyle w:val="Datenum"/>
          <w:rFonts w:ascii="Times New Roman" w:hAnsi="Times New Roman" w:cs="Times New Roman"/>
          <w:sz w:val="24"/>
          <w:szCs w:val="24"/>
        </w:rPr>
        <w:t>6</w:t>
      </w:r>
      <w:r w:rsidR="000026A0" w:rsidRPr="0000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  Сведения о з</w:t>
      </w:r>
      <w:r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3016F0" w:rsidRPr="00213209" w:rsidRDefault="00213209" w:rsidP="003016F0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209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016F0" w:rsidRPr="00213209">
        <w:rPr>
          <w:rFonts w:ascii="Times New Roman" w:hAnsi="Times New Roman" w:cs="Times New Roman"/>
          <w:b/>
          <w:sz w:val="24"/>
          <w:szCs w:val="24"/>
        </w:rPr>
        <w:t>:</w:t>
      </w:r>
      <w:r w:rsidR="003016F0" w:rsidRPr="00213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209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г. Нижний Новгород, Автозаводский район, п. Новое </w:t>
      </w:r>
      <w:proofErr w:type="spellStart"/>
      <w:r w:rsidRPr="00213209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Pr="00213209">
        <w:rPr>
          <w:rFonts w:ascii="Times New Roman" w:hAnsi="Times New Roman" w:cs="Times New Roman"/>
          <w:sz w:val="24"/>
          <w:szCs w:val="24"/>
        </w:rPr>
        <w:t>, ул. 32-я линия</w:t>
      </w:r>
      <w:r w:rsidR="003016F0" w:rsidRPr="002132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32661A">
        <w:rPr>
          <w:rFonts w:ascii="Times New Roman" w:hAnsi="Times New Roman" w:cs="Times New Roman"/>
          <w:sz w:val="24"/>
          <w:szCs w:val="24"/>
        </w:rPr>
        <w:t>561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32661A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3016F0" w:rsidRPr="00545A35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Кадастровый </w:t>
      </w:r>
      <w:r w:rsidRPr="00545A35">
        <w:rPr>
          <w:rFonts w:ascii="Times New Roman" w:hAnsi="Times New Roman" w:cs="Times New Roman"/>
          <w:b/>
          <w:sz w:val="24"/>
          <w:szCs w:val="24"/>
        </w:rPr>
        <w:t>номер:</w:t>
      </w:r>
      <w:r w:rsidR="006E1EE4" w:rsidRPr="00545A35">
        <w:rPr>
          <w:rFonts w:ascii="Times New Roman" w:hAnsi="Times New Roman" w:cs="Times New Roman"/>
          <w:sz w:val="24"/>
          <w:szCs w:val="24"/>
        </w:rPr>
        <w:t xml:space="preserve"> </w:t>
      </w:r>
      <w:r w:rsidR="0032661A">
        <w:rPr>
          <w:rFonts w:ascii="Times New Roman" w:hAnsi="Times New Roman" w:cs="Times New Roman"/>
          <w:bCs/>
          <w:sz w:val="24"/>
          <w:szCs w:val="24"/>
        </w:rPr>
        <w:t>52:18:0040003:116</w:t>
      </w:r>
      <w:r w:rsidRPr="00545A35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592" w:rsidRPr="00C40592" w:rsidRDefault="003016F0" w:rsidP="002D609E">
      <w:pPr>
        <w:overflowPunct w:val="0"/>
        <w:adjustRightInd w:val="0"/>
        <w:spacing w:after="0" w:line="360" w:lineRule="auto"/>
        <w:ind w:firstLine="60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C40592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C40592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городской округ город </w:t>
      </w:r>
      <w:r w:rsidR="00C40592" w:rsidRPr="00C40592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 w:rsidR="00C40592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="00C40592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C40592">
        <w:rPr>
          <w:rFonts w:ascii="Times New Roman" w:hAnsi="Times New Roman" w:cs="Times New Roman"/>
          <w:bCs/>
          <w:sz w:val="24"/>
          <w:szCs w:val="24"/>
        </w:rPr>
        <w:t>ижний Новгор</w:t>
      </w:r>
      <w:r w:rsidR="00213209">
        <w:rPr>
          <w:rFonts w:ascii="Times New Roman" w:hAnsi="Times New Roman" w:cs="Times New Roman"/>
          <w:bCs/>
          <w:sz w:val="24"/>
          <w:szCs w:val="24"/>
        </w:rPr>
        <w:t>од, Автозаводский район, п.</w:t>
      </w:r>
      <w:r w:rsidR="00C40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3209">
        <w:rPr>
          <w:rFonts w:ascii="Times New Roman" w:hAnsi="Times New Roman" w:cs="Times New Roman"/>
          <w:bCs/>
          <w:sz w:val="24"/>
          <w:szCs w:val="24"/>
        </w:rPr>
        <w:t xml:space="preserve">Новое </w:t>
      </w:r>
      <w:proofErr w:type="spellStart"/>
      <w:r w:rsidR="00213209">
        <w:rPr>
          <w:rFonts w:ascii="Times New Roman" w:hAnsi="Times New Roman" w:cs="Times New Roman"/>
          <w:bCs/>
          <w:sz w:val="24"/>
          <w:szCs w:val="24"/>
        </w:rPr>
        <w:t>Доскино</w:t>
      </w:r>
      <w:proofErr w:type="spellEnd"/>
      <w:r w:rsidR="00213209">
        <w:rPr>
          <w:rFonts w:ascii="Times New Roman" w:hAnsi="Times New Roman" w:cs="Times New Roman"/>
          <w:bCs/>
          <w:sz w:val="24"/>
          <w:szCs w:val="24"/>
        </w:rPr>
        <w:t>, ул. 32</w:t>
      </w:r>
      <w:r w:rsidR="00C40592" w:rsidRPr="00C40592">
        <w:rPr>
          <w:rFonts w:ascii="Times New Roman" w:hAnsi="Times New Roman" w:cs="Times New Roman"/>
          <w:bCs/>
          <w:sz w:val="24"/>
          <w:szCs w:val="24"/>
        </w:rPr>
        <w:t>-я линия</w:t>
      </w:r>
      <w:r w:rsidR="00C40592" w:rsidRPr="00C4059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2661A">
        <w:rPr>
          <w:rFonts w:ascii="Times New Roman" w:hAnsi="Times New Roman" w:cs="Times New Roman"/>
          <w:sz w:val="24"/>
          <w:szCs w:val="24"/>
        </w:rPr>
        <w:t>№ 63</w:t>
      </w:r>
      <w:r w:rsidR="00C40592" w:rsidRPr="00C40592">
        <w:rPr>
          <w:rFonts w:ascii="Times New Roman" w:hAnsi="Times New Roman" w:cs="Times New Roman"/>
          <w:sz w:val="24"/>
          <w:szCs w:val="24"/>
        </w:rPr>
        <w:t xml:space="preserve">ГС-2021, дата выдачи </w:t>
      </w:r>
      <w:r w:rsidR="009D143B">
        <w:rPr>
          <w:rFonts w:ascii="Times New Roman" w:hAnsi="Times New Roman" w:cs="Times New Roman"/>
          <w:sz w:val="24"/>
          <w:szCs w:val="24"/>
        </w:rPr>
        <w:t>22</w:t>
      </w:r>
      <w:r w:rsidR="00A279D6">
        <w:rPr>
          <w:rFonts w:ascii="Times New Roman" w:hAnsi="Times New Roman" w:cs="Times New Roman"/>
          <w:sz w:val="24"/>
          <w:szCs w:val="24"/>
        </w:rPr>
        <w:t>.12.2021</w:t>
      </w:r>
      <w:r w:rsidR="00C40592" w:rsidRPr="00C40592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C40592" w:rsidRPr="00C40592" w:rsidRDefault="00C40592" w:rsidP="002D609E">
      <w:pPr>
        <w:pStyle w:val="ConsPlusNormal"/>
        <w:spacing w:line="36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C40592">
        <w:rPr>
          <w:rFonts w:ascii="Times New Roman" w:hAnsi="Times New Roman" w:cs="Times New Roman"/>
          <w:sz w:val="24"/>
          <w:szCs w:val="24"/>
        </w:rPr>
        <w:t>Чертеж градостроительной справки з</w:t>
      </w:r>
      <w:r w:rsidR="009D143B">
        <w:rPr>
          <w:rFonts w:ascii="Times New Roman" w:hAnsi="Times New Roman" w:cs="Times New Roman"/>
          <w:sz w:val="24"/>
          <w:szCs w:val="24"/>
        </w:rPr>
        <w:t>емельного участка (арх. номер 6</w:t>
      </w:r>
      <w:r w:rsidR="0032661A">
        <w:rPr>
          <w:rFonts w:ascii="Times New Roman" w:hAnsi="Times New Roman" w:cs="Times New Roman"/>
          <w:sz w:val="24"/>
          <w:szCs w:val="24"/>
        </w:rPr>
        <w:t>3</w:t>
      </w:r>
      <w:r w:rsidRPr="00C40592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</w:t>
      </w:r>
      <w:r w:rsidR="009D143B">
        <w:rPr>
          <w:rFonts w:ascii="Times New Roman" w:hAnsi="Times New Roman" w:cs="Times New Roman"/>
          <w:sz w:val="24"/>
          <w:szCs w:val="24"/>
        </w:rPr>
        <w:t>на 1</w:t>
      </w:r>
      <w:r w:rsidR="0032661A">
        <w:rPr>
          <w:rFonts w:ascii="Times New Roman" w:hAnsi="Times New Roman" w:cs="Times New Roman"/>
          <w:sz w:val="24"/>
          <w:szCs w:val="24"/>
        </w:rPr>
        <w:t>2</w:t>
      </w:r>
      <w:r w:rsidRPr="00C40592">
        <w:rPr>
          <w:rFonts w:ascii="Times New Roman" w:hAnsi="Times New Roman" w:cs="Times New Roman"/>
          <w:sz w:val="24"/>
          <w:szCs w:val="24"/>
        </w:rPr>
        <w:t>.10.2021, содержит информацию о наличии инженерных сетей и градостроительных ограничений.</w:t>
      </w:r>
    </w:p>
    <w:p w:rsidR="00C40592" w:rsidRDefault="00C40592" w:rsidP="00C40592">
      <w:pPr>
        <w:overflowPunct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40592">
        <w:rPr>
          <w:rFonts w:ascii="Times New Roman" w:hAnsi="Times New Roman" w:cs="Times New Roman"/>
          <w:sz w:val="24"/>
          <w:szCs w:val="24"/>
        </w:rPr>
        <w:t>В</w:t>
      </w:r>
      <w:r w:rsidRPr="00C40592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Правилами землепользования и </w:t>
      </w:r>
      <w:proofErr w:type="gramStart"/>
      <w:r w:rsidRPr="00C40592">
        <w:rPr>
          <w:rFonts w:ascii="Times New Roman" w:hAnsi="Times New Roman" w:cs="Times New Roman"/>
          <w:color w:val="000000"/>
          <w:sz w:val="24"/>
          <w:szCs w:val="24"/>
        </w:rPr>
        <w:t>застройки города</w:t>
      </w:r>
      <w:proofErr w:type="gramEnd"/>
      <w:r w:rsidRPr="00C40592">
        <w:rPr>
          <w:rFonts w:ascii="Times New Roman" w:hAnsi="Times New Roman" w:cs="Times New Roman"/>
          <w:color w:val="000000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</w:t>
      </w:r>
      <w:r w:rsidRPr="00C40592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Pr="00C40592">
        <w:rPr>
          <w:rFonts w:ascii="Times New Roman" w:hAnsi="Times New Roman" w:cs="Times New Roman"/>
          <w:b/>
          <w:sz w:val="24"/>
          <w:szCs w:val="24"/>
        </w:rPr>
        <w:t>ТЖи-1</w:t>
      </w:r>
      <w:r w:rsidRPr="00C40592">
        <w:rPr>
          <w:rFonts w:ascii="Times New Roman" w:hAnsi="Times New Roman" w:cs="Times New Roman"/>
          <w:sz w:val="24"/>
          <w:szCs w:val="24"/>
        </w:rPr>
        <w:t xml:space="preserve"> (зона индивидуальной низкоплотной жилой застройки)</w:t>
      </w:r>
      <w:r w:rsidRPr="00C40592">
        <w:rPr>
          <w:rFonts w:ascii="Times New Roman" w:hAnsi="Times New Roman" w:cs="Times New Roman"/>
          <w:color w:val="000000"/>
          <w:sz w:val="24"/>
          <w:szCs w:val="24"/>
        </w:rPr>
        <w:t>. Градостроительный регламент установлен.</w:t>
      </w:r>
    </w:p>
    <w:p w:rsidR="00C40592" w:rsidRPr="00C40592" w:rsidRDefault="00C40592" w:rsidP="00C40592">
      <w:pPr>
        <w:widowControl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59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40592">
        <w:rPr>
          <w:rFonts w:ascii="Times New Roman" w:eastAsia="Calibri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57"/>
        <w:gridCol w:w="3129"/>
        <w:gridCol w:w="1694"/>
        <w:gridCol w:w="1134"/>
      </w:tblGrid>
      <w:tr w:rsidR="00C40592" w:rsidRPr="00C40592" w:rsidTr="00CB4722"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документации</w:t>
            </w:r>
          </w:p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по планировке территории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органа</w:t>
            </w:r>
          </w:p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(органов), </w:t>
            </w:r>
          </w:p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утвердивших</w:t>
            </w:r>
            <w:proofErr w:type="gram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документацию по планировке</w:t>
            </w:r>
          </w:p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2D609E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Дата подписания (утверждения) 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213209">
            <w:pPr>
              <w:tabs>
                <w:tab w:val="left" w:pos="537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</w:tr>
      <w:tr w:rsidR="00C40592" w:rsidRPr="00C40592" w:rsidTr="00CB4722">
        <w:trPr>
          <w:trHeight w:val="1099"/>
        </w:trPr>
        <w:tc>
          <w:tcPr>
            <w:tcW w:w="4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CB4722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Документация по планировке территории (проект планировки территории, включая проект межевания территории) в границах улиц Школьная, 24 линия, 30 линия, 22 линия, 32 линия, 20 линия, 33 линия, 18 линия поселка Новое </w:t>
            </w:r>
            <w:proofErr w:type="spellStart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Доскино</w:t>
            </w:r>
            <w:proofErr w:type="spellEnd"/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Автозаводском районе города Нижнего Новгорода"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CB4722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CB4722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592" w:rsidRPr="00C40592" w:rsidRDefault="00C40592" w:rsidP="00CB4722">
            <w:pPr>
              <w:tabs>
                <w:tab w:val="left" w:pos="537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592">
              <w:rPr>
                <w:rFonts w:ascii="Times New Roman" w:eastAsia="Calibri" w:hAnsi="Times New Roman" w:cs="Times New Roman"/>
                <w:sz w:val="20"/>
                <w:szCs w:val="20"/>
              </w:rPr>
              <w:t>07-02-03/38</w:t>
            </w:r>
          </w:p>
        </w:tc>
      </w:tr>
    </w:tbl>
    <w:p w:rsidR="003016F0" w:rsidRPr="00A752FF" w:rsidRDefault="003016F0" w:rsidP="00A752FF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hAnsi="Times New Roman" w:cs="Times New Roman"/>
          <w:b/>
          <w:sz w:val="24"/>
          <w:szCs w:val="24"/>
        </w:rPr>
        <w:lastRenderedPageBreak/>
        <w:t>Предельные параметры разрешенного строительства, реконструкции объектов капитального строительства</w:t>
      </w:r>
      <w:r w:rsidRPr="00A279D6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</w:t>
      </w:r>
      <w:r w:rsidRPr="00A752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территориальной зоны</w:t>
      </w:r>
      <w:r w:rsidR="001975D6" w:rsidRPr="00A75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592" w:rsidRPr="00A752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ТЖи-1 (зона индивидуальной низкоплотной жилой застройки)</w:t>
      </w:r>
      <w:r w:rsidRPr="00A752FF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№ 190-ФЗ (с изменениями) (п.39 ст.1).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</w:t>
      </w:r>
      <w:r w:rsidR="001975D6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ные отступы </w:t>
      </w:r>
      <w:r w:rsidR="00C40592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границ земельных участков </w:t>
      </w:r>
      <w:r w:rsidR="001975D6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составлять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  </w:t>
      </w:r>
      <w:r w:rsidR="00C40592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индивидуального жилого дома</w:t>
      </w:r>
      <w:r w:rsidR="00CB4722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0592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 3</w:t>
      </w:r>
      <w:r w:rsidR="001975D6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1975D6" w:rsidRPr="00A279D6" w:rsidRDefault="001975D6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CB4722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 хозяйственных построек, строений, сооружений вспомогательного использования, открытых стоянок– 1</w:t>
      </w: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м;</w:t>
      </w:r>
    </w:p>
    <w:p w:rsidR="003016F0" w:rsidRPr="00A279D6" w:rsidRDefault="00CB4722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использований - 5</w:t>
      </w:r>
      <w:r w:rsidR="001975D6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</w:t>
      </w:r>
      <w:r w:rsidR="003016F0" w:rsidRPr="00A279D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016F0" w:rsidRPr="00A279D6" w:rsidRDefault="003016F0" w:rsidP="003016F0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7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 (установлены ограничения (обременения)):</w:t>
      </w:r>
    </w:p>
    <w:p w:rsidR="00CB4722" w:rsidRPr="00A279D6" w:rsidRDefault="00CB4722" w:rsidP="00A752FF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79D6">
        <w:rPr>
          <w:rFonts w:ascii="Times New Roman" w:hAnsi="Times New Roman" w:cs="Times New Roman"/>
          <w:sz w:val="24"/>
          <w:szCs w:val="24"/>
        </w:rPr>
        <w:t>- санитарного разрыва вдоль стандартных маршрутов взлета и посадки воздушных судов (ОАО «</w:t>
      </w:r>
      <w:proofErr w:type="gramStart"/>
      <w:r w:rsidRPr="00A279D6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A279D6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CB4722" w:rsidRPr="00A279D6" w:rsidRDefault="00CB4722" w:rsidP="00A752FF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279D6">
        <w:rPr>
          <w:rFonts w:ascii="Times New Roman" w:hAnsi="Times New Roman" w:cs="Times New Roman"/>
          <w:sz w:val="24"/>
          <w:szCs w:val="24"/>
        </w:rPr>
        <w:t>- санитарного разрыва вдоль стандартных маршрутов взлета и посадки воздушных судов (ОАО «Международный аэропорт Нижний Новгород»), зона «Б» (полностью);</w:t>
      </w:r>
    </w:p>
    <w:p w:rsidR="00CB4722" w:rsidRPr="00A279D6" w:rsidRDefault="00CB4722" w:rsidP="00A752FF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9D6">
        <w:rPr>
          <w:rFonts w:ascii="Times New Roman" w:hAnsi="Times New Roman" w:cs="Times New Roman"/>
          <w:sz w:val="24"/>
          <w:szCs w:val="24"/>
        </w:rPr>
        <w:t>- зона инженерной подготовки территории (полностью).</w:t>
      </w:r>
    </w:p>
    <w:p w:rsidR="00A752FF" w:rsidRPr="00DD091B" w:rsidRDefault="00A752FF" w:rsidP="00A752FF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 xml:space="preserve">Необходимо получить в МКУ «Управление инженерной защиты территории города Нижнего Новгорода» (далее – МКУ «УИЗТ </w:t>
      </w:r>
      <w:proofErr w:type="spellStart"/>
      <w:r w:rsidRPr="00DD091B">
        <w:rPr>
          <w:rFonts w:ascii="Times New Roman" w:hAnsi="Times New Roman" w:cs="Times New Roman"/>
          <w:b/>
          <w:sz w:val="24"/>
          <w:szCs w:val="24"/>
        </w:rPr>
        <w:t>гНН</w:t>
      </w:r>
      <w:proofErr w:type="spellEnd"/>
      <w:r w:rsidRPr="00DD091B">
        <w:rPr>
          <w:rFonts w:ascii="Times New Roman" w:hAnsi="Times New Roman" w:cs="Times New Roman"/>
          <w:b/>
          <w:sz w:val="24"/>
          <w:szCs w:val="24"/>
        </w:rPr>
        <w:t>») технические условия на инженерную подготовку территории при проектировании объектов строительства.</w:t>
      </w:r>
    </w:p>
    <w:p w:rsidR="009D143B" w:rsidRDefault="00A752FF" w:rsidP="00A752FF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D091B">
        <w:rPr>
          <w:rFonts w:ascii="Times New Roman" w:hAnsi="Times New Roman" w:cs="Times New Roman"/>
          <w:b/>
          <w:sz w:val="24"/>
          <w:szCs w:val="24"/>
        </w:rPr>
        <w:t>Мероприятия по инженерной подготовке территории в соответствии с техническими условиями МКУ «Управление инженерной защиты территории города Нижнего Новгорода»</w:t>
      </w:r>
      <w:r w:rsidR="0032661A">
        <w:rPr>
          <w:rFonts w:ascii="Times New Roman" w:hAnsi="Times New Roman" w:cs="Times New Roman"/>
          <w:b/>
          <w:sz w:val="24"/>
          <w:szCs w:val="24"/>
        </w:rPr>
        <w:t xml:space="preserve"> №152</w:t>
      </w:r>
      <w:r w:rsidR="009D143B">
        <w:rPr>
          <w:rFonts w:ascii="Times New Roman" w:hAnsi="Times New Roman" w:cs="Times New Roman"/>
          <w:b/>
          <w:sz w:val="24"/>
          <w:szCs w:val="24"/>
        </w:rPr>
        <w:t xml:space="preserve">/01-13 от 16.12.2021, </w:t>
      </w:r>
      <w:r w:rsidR="009D143B" w:rsidRPr="00A752FF">
        <w:rPr>
          <w:rFonts w:ascii="Times New Roman" w:hAnsi="Times New Roman" w:cs="Times New Roman"/>
          <w:b/>
          <w:sz w:val="24"/>
          <w:szCs w:val="24"/>
        </w:rPr>
        <w:t>сроком действия до 16.12.2024:</w:t>
      </w:r>
    </w:p>
    <w:p w:rsidR="009D143B" w:rsidRDefault="009D143B" w:rsidP="00A752FF">
      <w:pPr>
        <w:tabs>
          <w:tab w:val="left" w:pos="709"/>
        </w:tabs>
        <w:overflowPunct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территориях: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D6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типы и конструкции фундаментов проектируемого сооружения;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защите предоставленной территории от воздействия грунтовых вод (по искусственному осушению территории).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Разработать проект по инженерной подготовке территории, в котором предусмотреть правильную вертикальную планировку с подсыпкой территории грунтом до проектных отметок и организацию поверхностного стока с представленной территории, а также при необходимости мероприятия по защите территории от подтопления, затопления и негативного воздействия от водных объектов, расположенных на прилегающей к предоставленному земельному участку территории.</w:t>
      </w:r>
      <w:proofErr w:type="gramEnd"/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Разработать мероприятия по защите котлована под фундамент проектируемого сооружения (здания) на строительный период от попадания поверхностного стока дождевых, талых вод и при необходимости от подтопления грунтовыми водами (мероприятия по водопонижению).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Все вышеуказанные  мероприятия выполнить с привлечением специализированной, лицензированной организации. 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Отчет по инженерно-геологическим изысканиям, проект по инженерной подготовке территории, вертикальной планировке и организации поверхностного стока, проект по искусственному осушению территории (с устройством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 При проектировании и производстве работ необходимо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 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 проектировании мероприятий по инженерной защите территории возможна корректировка данных технических условий.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9D143B" w:rsidRPr="00A752FF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Для получения справки необходимо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B75742" w:rsidRPr="009D143B" w:rsidRDefault="00B75742" w:rsidP="00B75742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9D143B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C20528">
        <w:rPr>
          <w:rFonts w:ascii="Times New Roman" w:eastAsia="Calibri" w:hAnsi="Times New Roman" w:cs="Times New Roman"/>
          <w:bCs/>
          <w:sz w:val="24"/>
          <w:szCs w:val="24"/>
        </w:rPr>
        <w:t>ОО</w:t>
      </w:r>
      <w:r w:rsidRPr="009D143B">
        <w:rPr>
          <w:rFonts w:ascii="Times New Roman" w:eastAsia="Calibri" w:hAnsi="Times New Roman" w:cs="Times New Roman"/>
          <w:bCs/>
          <w:sz w:val="24"/>
          <w:szCs w:val="24"/>
        </w:rPr>
        <w:t>О «Теплосети»)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отсутствует в связи с отсутствием сети инженерно-технического обеспечения в районе местоположения подключаемого объекта. </w:t>
      </w:r>
    </w:p>
    <w:p w:rsidR="009D143B" w:rsidRPr="009D143B" w:rsidRDefault="009D143B" w:rsidP="00A752FF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D143B" w:rsidRPr="00A752FF" w:rsidRDefault="009D143B" w:rsidP="00A752FF">
      <w:pPr>
        <w:pStyle w:val="ConsPlusNormal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F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 (АО «Нижегородский водоканал»):</w:t>
      </w:r>
    </w:p>
    <w:p w:rsidR="009D143B" w:rsidRPr="009D143B" w:rsidRDefault="009D143B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43B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9D14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143B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9D143B" w:rsidRPr="009D143B" w:rsidRDefault="009D143B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43B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9D143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D143B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9D143B" w:rsidRPr="009D143B" w:rsidRDefault="009D143B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143B">
        <w:rPr>
          <w:rFonts w:ascii="Times New Roman" w:hAnsi="Times New Roman" w:cs="Times New Roman"/>
          <w:sz w:val="24"/>
          <w:szCs w:val="24"/>
        </w:rPr>
        <w:t>- наружное пожаротушение – 10 л/сек.</w:t>
      </w:r>
    </w:p>
    <w:p w:rsidR="0032661A" w:rsidRPr="0032661A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661A">
        <w:rPr>
          <w:rFonts w:ascii="Times New Roman" w:hAnsi="Times New Roman" w:cs="Times New Roman"/>
          <w:sz w:val="24"/>
          <w:szCs w:val="24"/>
        </w:rPr>
        <w:t xml:space="preserve">Ближайшая возможная точка подключения объекта к системе водоснабжения –  водопроводная линия Д=500мм, идущая на </w:t>
      </w:r>
      <w:proofErr w:type="spellStart"/>
      <w:r w:rsidRPr="0032661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32661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2661A">
        <w:rPr>
          <w:rFonts w:ascii="Times New Roman" w:hAnsi="Times New Roman" w:cs="Times New Roman"/>
          <w:sz w:val="24"/>
          <w:szCs w:val="24"/>
        </w:rPr>
        <w:t>оскино</w:t>
      </w:r>
      <w:proofErr w:type="spellEnd"/>
      <w:r w:rsidRPr="0032661A">
        <w:rPr>
          <w:rFonts w:ascii="Times New Roman" w:hAnsi="Times New Roman" w:cs="Times New Roman"/>
          <w:sz w:val="24"/>
          <w:szCs w:val="24"/>
        </w:rPr>
        <w:t xml:space="preserve"> (линия тупиковая). </w:t>
      </w:r>
    </w:p>
    <w:p w:rsidR="009D143B" w:rsidRPr="009D143B" w:rsidRDefault="0032661A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661A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 Д=315мм, идущая на КНС «Совхоз» по ул</w:t>
      </w:r>
      <w:proofErr w:type="gramStart"/>
      <w:r w:rsidRPr="0032661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2661A">
        <w:rPr>
          <w:rFonts w:ascii="Times New Roman" w:hAnsi="Times New Roman" w:cs="Times New Roman"/>
          <w:sz w:val="24"/>
          <w:szCs w:val="24"/>
        </w:rPr>
        <w:t>ахтина, д.10а.</w:t>
      </w:r>
    </w:p>
    <w:p w:rsidR="009D143B" w:rsidRPr="009D143B" w:rsidRDefault="009D143B" w:rsidP="0032661A">
      <w:pPr>
        <w:tabs>
          <w:tab w:val="left" w:pos="709"/>
        </w:tabs>
        <w:overflowPunct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9D143B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9D143B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Техническая возможность подключения (технологического присоединения) к сети дождевой канализации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(МКУ «Управление инженерной защиты города Нижнего Новгорода»</w:t>
      </w:r>
      <w:r w:rsidRPr="009D143B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9D143B">
        <w:rPr>
          <w:rFonts w:ascii="Times New Roman" w:eastAsia="Calibri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участка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в зеленую зону.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bCs/>
          <w:sz w:val="24"/>
          <w:szCs w:val="24"/>
        </w:rPr>
        <w:t>Газоснабжение (</w:t>
      </w:r>
      <w:r w:rsidRPr="009D143B">
        <w:rPr>
          <w:rFonts w:ascii="Times New Roman" w:eastAsia="Calibri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 куб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>/ч имеется.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Точкой подключения может быть избран газопровод среднего давления диаметром 159 мм, проложенный по ул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>кольная.</w:t>
      </w:r>
    </w:p>
    <w:p w:rsidR="009D143B" w:rsidRPr="009D143B" w:rsidRDefault="009D143B" w:rsidP="00A752FF">
      <w:pPr>
        <w:spacing w:after="0"/>
        <w:ind w:firstLine="6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9D143B">
        <w:rPr>
          <w:rFonts w:ascii="Times New Roman" w:eastAsia="Calibri" w:hAnsi="Times New Roman" w:cs="Times New Roman"/>
          <w:bCs/>
          <w:sz w:val="24"/>
          <w:szCs w:val="24"/>
        </w:rPr>
        <w:t>ПАО «</w:t>
      </w:r>
      <w:proofErr w:type="spellStart"/>
      <w:r w:rsidRPr="009D143B">
        <w:rPr>
          <w:rFonts w:ascii="Times New Roman" w:eastAsia="Calibri" w:hAnsi="Times New Roman" w:cs="Times New Roman"/>
          <w:bCs/>
          <w:sz w:val="24"/>
          <w:szCs w:val="24"/>
        </w:rPr>
        <w:t>Ростелеком</w:t>
      </w:r>
      <w:proofErr w:type="spellEnd"/>
      <w:r w:rsidRPr="009D143B">
        <w:rPr>
          <w:rFonts w:ascii="Times New Roman" w:eastAsia="Calibri" w:hAnsi="Times New Roman" w:cs="Times New Roman"/>
          <w:bCs/>
          <w:sz w:val="24"/>
          <w:szCs w:val="24"/>
        </w:rPr>
        <w:t>»):</w:t>
      </w:r>
    </w:p>
    <w:p w:rsidR="008B78A4" w:rsidRPr="008B78A4" w:rsidRDefault="008B78A4" w:rsidP="008B78A4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8A4">
        <w:rPr>
          <w:rFonts w:ascii="Times New Roman" w:eastAsia="Calibri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 «</w:t>
      </w:r>
      <w:proofErr w:type="spellStart"/>
      <w:r w:rsidRPr="008B78A4">
        <w:rPr>
          <w:rFonts w:ascii="Times New Roman" w:eastAsia="Calibri" w:hAnsi="Times New Roman" w:cs="Times New Roman"/>
          <w:sz w:val="24"/>
          <w:szCs w:val="24"/>
        </w:rPr>
        <w:t>Ростелеком</w:t>
      </w:r>
      <w:proofErr w:type="spellEnd"/>
      <w:r w:rsidRPr="008B78A4">
        <w:rPr>
          <w:rFonts w:ascii="Times New Roman" w:eastAsia="Calibri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 – 3 месяца.</w:t>
      </w:r>
    </w:p>
    <w:p w:rsidR="008B78A4" w:rsidRPr="008B78A4" w:rsidRDefault="008B78A4" w:rsidP="008B78A4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8A4">
        <w:rPr>
          <w:rFonts w:ascii="Times New Roman" w:eastAsia="Calibri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 «</w:t>
      </w:r>
      <w:proofErr w:type="spellStart"/>
      <w:r w:rsidRPr="008B78A4">
        <w:rPr>
          <w:rFonts w:ascii="Times New Roman" w:eastAsia="Calibri" w:hAnsi="Times New Roman" w:cs="Times New Roman"/>
          <w:sz w:val="24"/>
          <w:szCs w:val="24"/>
        </w:rPr>
        <w:t>Ростелеком</w:t>
      </w:r>
      <w:proofErr w:type="spellEnd"/>
      <w:r w:rsidRPr="008B78A4">
        <w:rPr>
          <w:rFonts w:ascii="Times New Roman" w:eastAsia="Calibri" w:hAnsi="Times New Roman" w:cs="Times New Roman"/>
          <w:sz w:val="24"/>
          <w:szCs w:val="24"/>
        </w:rPr>
        <w:t>» зависит от вида и параметра услуг.</w:t>
      </w:r>
    </w:p>
    <w:p w:rsidR="008B78A4" w:rsidRPr="008B78A4" w:rsidRDefault="008B78A4" w:rsidP="008B78A4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8A4">
        <w:rPr>
          <w:rFonts w:ascii="Times New Roman" w:eastAsia="Calibri" w:hAnsi="Times New Roman" w:cs="Times New Roman"/>
          <w:sz w:val="24"/>
          <w:szCs w:val="24"/>
        </w:rPr>
        <w:t>Требуется прокладка ВОЛС по существующим и проектируемым инженерным сооружениям связи протяженностью 830 м.</w:t>
      </w:r>
    </w:p>
    <w:p w:rsidR="008B78A4" w:rsidRDefault="008B78A4" w:rsidP="008B78A4">
      <w:pPr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8A4">
        <w:rPr>
          <w:rFonts w:ascii="Times New Roman" w:eastAsia="Calibri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8B78A4">
        <w:rPr>
          <w:rFonts w:ascii="Times New Roman" w:eastAsia="Calibri" w:hAnsi="Times New Roman" w:cs="Times New Roman"/>
          <w:sz w:val="24"/>
          <w:szCs w:val="24"/>
        </w:rPr>
        <w:t>Ростелеком</w:t>
      </w:r>
      <w:proofErr w:type="spellEnd"/>
      <w:r w:rsidRPr="008B78A4">
        <w:rPr>
          <w:rFonts w:ascii="Times New Roman" w:eastAsia="Calibri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6A20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8A4">
        <w:rPr>
          <w:rFonts w:ascii="Times New Roman" w:hAnsi="Times New Roman" w:cs="Times New Roman"/>
          <w:b/>
          <w:sz w:val="24"/>
          <w:szCs w:val="24"/>
        </w:rPr>
        <w:t>160 200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78A4">
        <w:rPr>
          <w:rFonts w:ascii="Times New Roman" w:hAnsi="Times New Roman" w:cs="Times New Roman"/>
          <w:b/>
          <w:sz w:val="24"/>
          <w:szCs w:val="24"/>
        </w:rPr>
        <w:t>с</w:t>
      </w:r>
      <w:r w:rsidR="008B78A4" w:rsidRPr="008B78A4">
        <w:rPr>
          <w:rFonts w:ascii="Times New Roman" w:hAnsi="Times New Roman" w:cs="Times New Roman"/>
          <w:b/>
          <w:sz w:val="24"/>
          <w:szCs w:val="24"/>
        </w:rPr>
        <w:t>то шестьдесят тысяч двести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sz w:val="24"/>
          <w:szCs w:val="24"/>
        </w:rPr>
        <w:t>об оценке</w:t>
      </w:r>
      <w:r>
        <w:rPr>
          <w:rFonts w:ascii="Times New Roman" w:hAnsi="Times New Roman" w:cs="Times New Roman"/>
          <w:sz w:val="24"/>
          <w:szCs w:val="24"/>
        </w:rPr>
        <w:br/>
      </w:r>
      <w:r w:rsidR="00A279D6">
        <w:rPr>
          <w:rFonts w:ascii="Times New Roman" w:hAnsi="Times New Roman" w:cs="Times New Roman"/>
          <w:bCs/>
          <w:sz w:val="24"/>
          <w:szCs w:val="24"/>
        </w:rPr>
        <w:t>от 24.04</w:t>
      </w:r>
      <w:r w:rsidR="00551C26">
        <w:rPr>
          <w:rFonts w:ascii="Times New Roman" w:hAnsi="Times New Roman" w:cs="Times New Roman"/>
          <w:bCs/>
          <w:sz w:val="24"/>
          <w:szCs w:val="24"/>
        </w:rPr>
        <w:t>.2024</w:t>
      </w:r>
      <w:r w:rsidR="000026A0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9D143B">
        <w:rPr>
          <w:rFonts w:ascii="Times New Roman" w:hAnsi="Times New Roman" w:cs="Times New Roman"/>
          <w:bCs/>
          <w:sz w:val="24"/>
          <w:szCs w:val="24"/>
        </w:rPr>
        <w:t>101-6/3</w:t>
      </w:r>
      <w:r w:rsidR="008B78A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9421F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З</w:t>
      </w:r>
      <w:r w:rsidRPr="00572A1D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143B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8B78A4">
        <w:rPr>
          <w:rFonts w:ascii="Times New Roman" w:hAnsi="Times New Roman" w:cs="Times New Roman"/>
          <w:bCs/>
          <w:sz w:val="24"/>
          <w:szCs w:val="24"/>
        </w:rPr>
        <w:t>561</w:t>
      </w:r>
      <w:r w:rsidR="00986A20">
        <w:rPr>
          <w:rFonts w:ascii="Times New Roman" w:hAnsi="Times New Roman" w:cs="Times New Roman"/>
          <w:bCs/>
          <w:sz w:val="24"/>
          <w:szCs w:val="24"/>
        </w:rPr>
        <w:t xml:space="preserve"> кв.м., </w:t>
      </w:r>
      <w:r w:rsidR="00C20B4F">
        <w:rPr>
          <w:rFonts w:ascii="Times New Roman" w:hAnsi="Times New Roman" w:cs="Times New Roman"/>
          <w:sz w:val="24"/>
          <w:szCs w:val="24"/>
        </w:rPr>
        <w:t>кадастровый номер: 52:18:0040003:11</w:t>
      </w:r>
      <w:r w:rsidR="008B78A4">
        <w:rPr>
          <w:rFonts w:ascii="Times New Roman" w:hAnsi="Times New Roman" w:cs="Times New Roman"/>
          <w:sz w:val="24"/>
          <w:szCs w:val="24"/>
        </w:rPr>
        <w:t>6</w:t>
      </w:r>
      <w:r w:rsidR="00551C26">
        <w:rPr>
          <w:rFonts w:ascii="Times New Roman" w:hAnsi="Times New Roman" w:cs="Times New Roman"/>
          <w:sz w:val="24"/>
          <w:szCs w:val="24"/>
        </w:rPr>
        <w:t>,</w:t>
      </w:r>
      <w:r w:rsidR="00551C26" w:rsidRPr="00551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26">
        <w:rPr>
          <w:rFonts w:ascii="Times New Roman" w:hAnsi="Times New Roman" w:cs="Times New Roman"/>
          <w:bCs/>
          <w:sz w:val="24"/>
          <w:szCs w:val="24"/>
        </w:rPr>
        <w:t>адрес:</w:t>
      </w:r>
      <w:r w:rsidR="00551C26" w:rsidRPr="00551C26">
        <w:rPr>
          <w:rFonts w:ascii="Times New Roman" w:hAnsi="Times New Roman" w:cs="Times New Roman"/>
          <w:sz w:val="24"/>
          <w:szCs w:val="24"/>
        </w:rPr>
        <w:t xml:space="preserve"> </w:t>
      </w:r>
      <w:r w:rsidR="00551C26" w:rsidRPr="005C212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551C26">
        <w:rPr>
          <w:rFonts w:ascii="Times New Roman" w:hAnsi="Times New Roman" w:cs="Times New Roman"/>
          <w:sz w:val="24"/>
          <w:szCs w:val="24"/>
        </w:rPr>
        <w:t>Нижегородская область</w:t>
      </w:r>
      <w:r w:rsidR="00551C26" w:rsidRPr="005C212D">
        <w:rPr>
          <w:rFonts w:ascii="Times New Roman" w:hAnsi="Times New Roman" w:cs="Times New Roman"/>
          <w:sz w:val="24"/>
          <w:szCs w:val="24"/>
        </w:rPr>
        <w:t xml:space="preserve">, </w:t>
      </w:r>
      <w:r w:rsidR="00C20B4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0B4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20B4F">
        <w:rPr>
          <w:rFonts w:ascii="Times New Roman" w:hAnsi="Times New Roman" w:cs="Times New Roman"/>
          <w:sz w:val="24"/>
          <w:szCs w:val="24"/>
        </w:rPr>
        <w:t>ижний Новгор</w:t>
      </w:r>
      <w:r w:rsidR="009D143B">
        <w:rPr>
          <w:rFonts w:ascii="Times New Roman" w:hAnsi="Times New Roman" w:cs="Times New Roman"/>
          <w:sz w:val="24"/>
          <w:szCs w:val="24"/>
        </w:rPr>
        <w:t>од, Автозаводский район, п.</w:t>
      </w:r>
      <w:r w:rsidR="00C20B4F">
        <w:rPr>
          <w:rFonts w:ascii="Times New Roman" w:hAnsi="Times New Roman" w:cs="Times New Roman"/>
          <w:sz w:val="24"/>
          <w:szCs w:val="24"/>
        </w:rPr>
        <w:t xml:space="preserve"> Новое </w:t>
      </w:r>
      <w:proofErr w:type="spellStart"/>
      <w:r w:rsidR="00C20B4F">
        <w:rPr>
          <w:rFonts w:ascii="Times New Roman" w:hAnsi="Times New Roman" w:cs="Times New Roman"/>
          <w:sz w:val="24"/>
          <w:szCs w:val="24"/>
        </w:rPr>
        <w:t>Доскино</w:t>
      </w:r>
      <w:proofErr w:type="spellEnd"/>
      <w:r w:rsidR="00C20B4F">
        <w:rPr>
          <w:rFonts w:ascii="Times New Roman" w:hAnsi="Times New Roman" w:cs="Times New Roman"/>
          <w:sz w:val="24"/>
          <w:szCs w:val="24"/>
        </w:rPr>
        <w:t xml:space="preserve">, </w:t>
      </w:r>
      <w:r w:rsidR="009D143B">
        <w:rPr>
          <w:rFonts w:ascii="Times New Roman" w:hAnsi="Times New Roman" w:cs="Times New Roman"/>
          <w:sz w:val="24"/>
          <w:szCs w:val="24"/>
        </w:rPr>
        <w:t>ул. 32</w:t>
      </w:r>
      <w:r w:rsidR="00C20B4F">
        <w:rPr>
          <w:rFonts w:ascii="Times New Roman" w:hAnsi="Times New Roman" w:cs="Times New Roman"/>
          <w:sz w:val="24"/>
          <w:szCs w:val="24"/>
        </w:rPr>
        <w:t>-я</w:t>
      </w:r>
      <w:r w:rsidR="009D143B">
        <w:rPr>
          <w:rFonts w:ascii="Times New Roman" w:hAnsi="Times New Roman" w:cs="Times New Roman"/>
          <w:sz w:val="24"/>
          <w:szCs w:val="24"/>
        </w:rPr>
        <w:t xml:space="preserve"> линия</w:t>
      </w:r>
      <w:r w:rsidR="00551C26" w:rsidRPr="006E1E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«АЛЕКСА-ГРУПП»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250C8D" w:rsidRDefault="005A4203" w:rsidP="00250C8D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8B78A4" w:rsidRPr="008B78A4">
        <w:rPr>
          <w:rFonts w:ascii="Times New Roman" w:hAnsi="Times New Roman" w:cs="Times New Roman"/>
          <w:b/>
          <w:sz w:val="24"/>
          <w:szCs w:val="24"/>
        </w:rPr>
        <w:t>4</w:t>
      </w:r>
      <w:r w:rsidR="008B78A4">
        <w:rPr>
          <w:rFonts w:ascii="Times New Roman" w:hAnsi="Times New Roman" w:cs="Times New Roman"/>
          <w:b/>
          <w:sz w:val="24"/>
          <w:szCs w:val="24"/>
        </w:rPr>
        <w:t xml:space="preserve"> 800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D143B">
        <w:rPr>
          <w:rFonts w:ascii="Times New Roman" w:hAnsi="Times New Roman" w:cs="Times New Roman"/>
          <w:sz w:val="24"/>
          <w:szCs w:val="24"/>
        </w:rPr>
        <w:t xml:space="preserve"> </w:t>
      </w:r>
      <w:r w:rsidR="008B78A4">
        <w:rPr>
          <w:rFonts w:ascii="Times New Roman" w:hAnsi="Times New Roman" w:cs="Times New Roman"/>
          <w:b/>
          <w:sz w:val="24"/>
          <w:szCs w:val="24"/>
        </w:rPr>
        <w:t>160 200</w:t>
      </w:r>
      <w:r w:rsidR="008B78A4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78A4">
        <w:rPr>
          <w:rFonts w:ascii="Times New Roman" w:hAnsi="Times New Roman" w:cs="Times New Roman"/>
          <w:b/>
          <w:sz w:val="24"/>
          <w:szCs w:val="24"/>
        </w:rPr>
        <w:t>с</w:t>
      </w:r>
      <w:r w:rsidR="008B78A4" w:rsidRPr="008B78A4">
        <w:rPr>
          <w:rFonts w:ascii="Times New Roman" w:hAnsi="Times New Roman" w:cs="Times New Roman"/>
          <w:b/>
          <w:sz w:val="24"/>
          <w:szCs w:val="24"/>
        </w:rPr>
        <w:t>то шестьдесят тысяч двести</w:t>
      </w:r>
      <w:r w:rsidR="008B78A4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sz w:val="24"/>
          <w:szCs w:val="24"/>
        </w:rPr>
        <w:t>28.06.</w:t>
      </w:r>
      <w:r w:rsidR="006C66FA">
        <w:rPr>
          <w:rFonts w:ascii="Times New Roman" w:hAnsi="Times New Roman" w:cs="Times New Roman"/>
          <w:sz w:val="24"/>
          <w:szCs w:val="24"/>
        </w:rPr>
        <w:t>2024</w:t>
      </w:r>
      <w:r w:rsidRPr="005C212D">
        <w:rPr>
          <w:rFonts w:ascii="Times New Roman" w:hAnsi="Times New Roman" w:cs="Times New Roman"/>
          <w:sz w:val="24"/>
          <w:szCs w:val="24"/>
        </w:rPr>
        <w:t xml:space="preserve"> в</w:t>
      </w:r>
      <w:r w:rsidR="00A752FF">
        <w:rPr>
          <w:rFonts w:ascii="Times New Roman" w:hAnsi="Times New Roman" w:cs="Times New Roman"/>
          <w:sz w:val="24"/>
          <w:szCs w:val="24"/>
        </w:rPr>
        <w:t xml:space="preserve"> 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sz w:val="24"/>
          <w:szCs w:val="24"/>
        </w:rPr>
        <w:t>25.07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sz w:val="24"/>
          <w:szCs w:val="24"/>
        </w:rPr>
        <w:t>26.07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A752FF">
        <w:rPr>
          <w:rFonts w:ascii="Times New Roman" w:hAnsi="Times New Roman" w:cs="Times New Roman"/>
          <w:sz w:val="24"/>
          <w:szCs w:val="24"/>
        </w:rPr>
        <w:t>29</w:t>
      </w:r>
      <w:r w:rsidR="00C20B4F">
        <w:rPr>
          <w:rFonts w:ascii="Times New Roman" w:hAnsi="Times New Roman" w:cs="Times New Roman"/>
          <w:sz w:val="24"/>
          <w:szCs w:val="24"/>
        </w:rPr>
        <w:t>.07</w:t>
      </w:r>
      <w:r w:rsidR="00DB672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8B78A4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lastRenderedPageBreak/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0B4F" w:rsidRDefault="00C20B4F" w:rsidP="00C20B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</w:t>
      </w:r>
      <w:r w:rsidRPr="00B35AA1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DB437B">
      <w:headerReference w:type="default" r:id="rId27"/>
      <w:pgSz w:w="11906" w:h="16838"/>
      <w:pgMar w:top="567" w:right="707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1A" w:rsidRDefault="0032661A" w:rsidP="00414F0A">
      <w:pPr>
        <w:spacing w:after="0" w:line="240" w:lineRule="auto"/>
      </w:pPr>
      <w:r>
        <w:separator/>
      </w:r>
    </w:p>
  </w:endnote>
  <w:endnote w:type="continuationSeparator" w:id="0">
    <w:p w:rsidR="0032661A" w:rsidRDefault="0032661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1A" w:rsidRDefault="0032661A" w:rsidP="00414F0A">
      <w:pPr>
        <w:spacing w:after="0" w:line="240" w:lineRule="auto"/>
      </w:pPr>
      <w:r>
        <w:separator/>
      </w:r>
    </w:p>
  </w:footnote>
  <w:footnote w:type="continuationSeparator" w:id="0">
    <w:p w:rsidR="0032661A" w:rsidRDefault="0032661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32661A" w:rsidRDefault="00C858E3">
        <w:pPr>
          <w:pStyle w:val="a3"/>
          <w:jc w:val="center"/>
        </w:pPr>
        <w:fldSimple w:instr=" PAGE   \* MERGEFORMAT ">
          <w:r w:rsidR="00C20528">
            <w:rPr>
              <w:noProof/>
            </w:rPr>
            <w:t>4</w:t>
          </w:r>
        </w:fldSimple>
      </w:p>
    </w:sdtContent>
  </w:sdt>
  <w:p w:rsidR="0032661A" w:rsidRDefault="003266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6A0"/>
    <w:rsid w:val="000052E9"/>
    <w:rsid w:val="0003088B"/>
    <w:rsid w:val="00035379"/>
    <w:rsid w:val="0003734E"/>
    <w:rsid w:val="00042908"/>
    <w:rsid w:val="00063DD9"/>
    <w:rsid w:val="000736E4"/>
    <w:rsid w:val="00075C73"/>
    <w:rsid w:val="0008387E"/>
    <w:rsid w:val="000905F4"/>
    <w:rsid w:val="000A1F00"/>
    <w:rsid w:val="000A223E"/>
    <w:rsid w:val="000B4978"/>
    <w:rsid w:val="000D09FD"/>
    <w:rsid w:val="000D1260"/>
    <w:rsid w:val="000D1C6E"/>
    <w:rsid w:val="000D1D3A"/>
    <w:rsid w:val="000E39A6"/>
    <w:rsid w:val="000E39B5"/>
    <w:rsid w:val="000E55C5"/>
    <w:rsid w:val="000E6CD0"/>
    <w:rsid w:val="0010270D"/>
    <w:rsid w:val="001105C7"/>
    <w:rsid w:val="00152084"/>
    <w:rsid w:val="0017054B"/>
    <w:rsid w:val="00174CC1"/>
    <w:rsid w:val="00190D47"/>
    <w:rsid w:val="00192088"/>
    <w:rsid w:val="001975D6"/>
    <w:rsid w:val="001A2CA4"/>
    <w:rsid w:val="001A60E7"/>
    <w:rsid w:val="001B640A"/>
    <w:rsid w:val="001D22B0"/>
    <w:rsid w:val="001D386D"/>
    <w:rsid w:val="001D58CB"/>
    <w:rsid w:val="001E6EC4"/>
    <w:rsid w:val="001F11CA"/>
    <w:rsid w:val="00206829"/>
    <w:rsid w:val="00211594"/>
    <w:rsid w:val="00213209"/>
    <w:rsid w:val="00230FF4"/>
    <w:rsid w:val="002311CF"/>
    <w:rsid w:val="00233EBE"/>
    <w:rsid w:val="00235D89"/>
    <w:rsid w:val="0024445F"/>
    <w:rsid w:val="00250C8D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D609E"/>
    <w:rsid w:val="002E0613"/>
    <w:rsid w:val="002E5627"/>
    <w:rsid w:val="003016F0"/>
    <w:rsid w:val="00301CF7"/>
    <w:rsid w:val="00301E91"/>
    <w:rsid w:val="00302069"/>
    <w:rsid w:val="00306196"/>
    <w:rsid w:val="0032451F"/>
    <w:rsid w:val="00325151"/>
    <w:rsid w:val="0032658F"/>
    <w:rsid w:val="0032661A"/>
    <w:rsid w:val="00331ABD"/>
    <w:rsid w:val="0034074D"/>
    <w:rsid w:val="003448E5"/>
    <w:rsid w:val="003457B9"/>
    <w:rsid w:val="00346B66"/>
    <w:rsid w:val="0035128B"/>
    <w:rsid w:val="00352B42"/>
    <w:rsid w:val="00357CFE"/>
    <w:rsid w:val="00370D68"/>
    <w:rsid w:val="00381825"/>
    <w:rsid w:val="003914E7"/>
    <w:rsid w:val="00391983"/>
    <w:rsid w:val="00397BE2"/>
    <w:rsid w:val="003A3360"/>
    <w:rsid w:val="003B001F"/>
    <w:rsid w:val="003B7A6F"/>
    <w:rsid w:val="003C4388"/>
    <w:rsid w:val="003D36C4"/>
    <w:rsid w:val="003F43F0"/>
    <w:rsid w:val="003F7098"/>
    <w:rsid w:val="003F78C0"/>
    <w:rsid w:val="00401F12"/>
    <w:rsid w:val="004045E7"/>
    <w:rsid w:val="00412DB8"/>
    <w:rsid w:val="00414F0A"/>
    <w:rsid w:val="0041645C"/>
    <w:rsid w:val="00420B5F"/>
    <w:rsid w:val="00430909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C0242"/>
    <w:rsid w:val="004D3857"/>
    <w:rsid w:val="004F093D"/>
    <w:rsid w:val="004F32E0"/>
    <w:rsid w:val="004F471E"/>
    <w:rsid w:val="0051519C"/>
    <w:rsid w:val="00531E9A"/>
    <w:rsid w:val="00534453"/>
    <w:rsid w:val="0054383B"/>
    <w:rsid w:val="00545A35"/>
    <w:rsid w:val="00551C26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C66FA"/>
    <w:rsid w:val="006D6F8A"/>
    <w:rsid w:val="006E0587"/>
    <w:rsid w:val="006E1EE4"/>
    <w:rsid w:val="006E61FC"/>
    <w:rsid w:val="006E7A70"/>
    <w:rsid w:val="006F1366"/>
    <w:rsid w:val="00701AF9"/>
    <w:rsid w:val="007107E6"/>
    <w:rsid w:val="0072111F"/>
    <w:rsid w:val="00751B8B"/>
    <w:rsid w:val="00763267"/>
    <w:rsid w:val="00763939"/>
    <w:rsid w:val="007720DA"/>
    <w:rsid w:val="00775FA9"/>
    <w:rsid w:val="00785D73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71E4"/>
    <w:rsid w:val="008539F1"/>
    <w:rsid w:val="00861D3A"/>
    <w:rsid w:val="00862C52"/>
    <w:rsid w:val="00877BCC"/>
    <w:rsid w:val="0088256C"/>
    <w:rsid w:val="00885CB0"/>
    <w:rsid w:val="0089077C"/>
    <w:rsid w:val="008930DC"/>
    <w:rsid w:val="008A43DC"/>
    <w:rsid w:val="008B3E18"/>
    <w:rsid w:val="008B5109"/>
    <w:rsid w:val="008B78A4"/>
    <w:rsid w:val="008D4092"/>
    <w:rsid w:val="008D7BA7"/>
    <w:rsid w:val="008F4DD1"/>
    <w:rsid w:val="00901BA8"/>
    <w:rsid w:val="00902C90"/>
    <w:rsid w:val="0091106A"/>
    <w:rsid w:val="00924E83"/>
    <w:rsid w:val="00934864"/>
    <w:rsid w:val="009421F8"/>
    <w:rsid w:val="00942FC3"/>
    <w:rsid w:val="00943E54"/>
    <w:rsid w:val="0095329F"/>
    <w:rsid w:val="00960AED"/>
    <w:rsid w:val="009663AE"/>
    <w:rsid w:val="009668D9"/>
    <w:rsid w:val="00967223"/>
    <w:rsid w:val="00967A89"/>
    <w:rsid w:val="00973431"/>
    <w:rsid w:val="00977052"/>
    <w:rsid w:val="00986A20"/>
    <w:rsid w:val="00987321"/>
    <w:rsid w:val="0098734D"/>
    <w:rsid w:val="00992516"/>
    <w:rsid w:val="009948A3"/>
    <w:rsid w:val="009A1C32"/>
    <w:rsid w:val="009A25C8"/>
    <w:rsid w:val="009B35AE"/>
    <w:rsid w:val="009C5A5F"/>
    <w:rsid w:val="009C5C69"/>
    <w:rsid w:val="009D143B"/>
    <w:rsid w:val="009E280D"/>
    <w:rsid w:val="009E3B80"/>
    <w:rsid w:val="009E4EA0"/>
    <w:rsid w:val="00A13BE7"/>
    <w:rsid w:val="00A20903"/>
    <w:rsid w:val="00A217C8"/>
    <w:rsid w:val="00A279D6"/>
    <w:rsid w:val="00A30C95"/>
    <w:rsid w:val="00A3667E"/>
    <w:rsid w:val="00A36DAE"/>
    <w:rsid w:val="00A65181"/>
    <w:rsid w:val="00A67A45"/>
    <w:rsid w:val="00A752FF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57"/>
    <w:rsid w:val="00AC088D"/>
    <w:rsid w:val="00AF460A"/>
    <w:rsid w:val="00B025F8"/>
    <w:rsid w:val="00B03A5E"/>
    <w:rsid w:val="00B127B2"/>
    <w:rsid w:val="00B24DA3"/>
    <w:rsid w:val="00B35AA1"/>
    <w:rsid w:val="00B41BA0"/>
    <w:rsid w:val="00B53550"/>
    <w:rsid w:val="00B6340D"/>
    <w:rsid w:val="00B75742"/>
    <w:rsid w:val="00B76843"/>
    <w:rsid w:val="00B83453"/>
    <w:rsid w:val="00B941CB"/>
    <w:rsid w:val="00BA7D0A"/>
    <w:rsid w:val="00BB285F"/>
    <w:rsid w:val="00BC1109"/>
    <w:rsid w:val="00BC1DCC"/>
    <w:rsid w:val="00BD11F9"/>
    <w:rsid w:val="00BF56AF"/>
    <w:rsid w:val="00C01924"/>
    <w:rsid w:val="00C02790"/>
    <w:rsid w:val="00C20528"/>
    <w:rsid w:val="00C20B4F"/>
    <w:rsid w:val="00C2139D"/>
    <w:rsid w:val="00C24608"/>
    <w:rsid w:val="00C2510E"/>
    <w:rsid w:val="00C25AE4"/>
    <w:rsid w:val="00C32EDD"/>
    <w:rsid w:val="00C33209"/>
    <w:rsid w:val="00C3720E"/>
    <w:rsid w:val="00C40592"/>
    <w:rsid w:val="00C432AB"/>
    <w:rsid w:val="00C4706B"/>
    <w:rsid w:val="00C50427"/>
    <w:rsid w:val="00C56236"/>
    <w:rsid w:val="00C57A7D"/>
    <w:rsid w:val="00C72B69"/>
    <w:rsid w:val="00C858E3"/>
    <w:rsid w:val="00CA0765"/>
    <w:rsid w:val="00CA4243"/>
    <w:rsid w:val="00CA7A05"/>
    <w:rsid w:val="00CB1F56"/>
    <w:rsid w:val="00CB4722"/>
    <w:rsid w:val="00CD6407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A7C8B"/>
    <w:rsid w:val="00DB42A9"/>
    <w:rsid w:val="00DB437B"/>
    <w:rsid w:val="00DB4952"/>
    <w:rsid w:val="00DB65B0"/>
    <w:rsid w:val="00DB672D"/>
    <w:rsid w:val="00DC16E3"/>
    <w:rsid w:val="00DF7C09"/>
    <w:rsid w:val="00E05999"/>
    <w:rsid w:val="00E16663"/>
    <w:rsid w:val="00E16980"/>
    <w:rsid w:val="00E16B23"/>
    <w:rsid w:val="00E2231B"/>
    <w:rsid w:val="00E22A5E"/>
    <w:rsid w:val="00E255F1"/>
    <w:rsid w:val="00E262BC"/>
    <w:rsid w:val="00E31047"/>
    <w:rsid w:val="00E4643A"/>
    <w:rsid w:val="00E5186C"/>
    <w:rsid w:val="00E61E5B"/>
    <w:rsid w:val="00E625E4"/>
    <w:rsid w:val="00E64E57"/>
    <w:rsid w:val="00E737A4"/>
    <w:rsid w:val="00E80D72"/>
    <w:rsid w:val="00E923B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15D3F"/>
    <w:rsid w:val="00F23323"/>
    <w:rsid w:val="00F24CD3"/>
    <w:rsid w:val="00F36743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D4B54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9077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77C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90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752F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5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BF631-B49C-4BCC-BBB4-5C51F692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14</Pages>
  <Words>5951</Words>
  <Characters>33927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52</cp:revision>
  <cp:lastPrinted>2024-06-26T09:56:00Z</cp:lastPrinted>
  <dcterms:created xsi:type="dcterms:W3CDTF">2023-08-03T08:01:00Z</dcterms:created>
  <dcterms:modified xsi:type="dcterms:W3CDTF">2024-06-26T12:54:00Z</dcterms:modified>
</cp:coreProperties>
</file>