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A94CA6">
        <w:rPr>
          <w:rFonts w:ascii="Times New Roman" w:hAnsi="Times New Roman" w:cs="Times New Roman"/>
          <w:sz w:val="24"/>
          <w:szCs w:val="24"/>
        </w:rPr>
        <w:t xml:space="preserve">от 20.12.2024 № 11926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г. Нижний Новгород, ул. Краснодарская, земельный участок 23</w:t>
      </w:r>
      <w:r w:rsidR="00E16FD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F068F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68F" w:rsidRPr="00AF068F">
        <w:rPr>
          <w:rFonts w:ascii="Times New Roman" w:hAnsi="Times New Roman" w:cs="Times New Roman"/>
          <w:sz w:val="24"/>
          <w:szCs w:val="24"/>
        </w:rPr>
        <w:t>Российская Федерация, Нижего</w:t>
      </w:r>
      <w:r w:rsidR="0078001B">
        <w:rPr>
          <w:rFonts w:ascii="Times New Roman" w:hAnsi="Times New Roman" w:cs="Times New Roman"/>
          <w:sz w:val="24"/>
          <w:szCs w:val="24"/>
        </w:rPr>
        <w:t>родская область, г</w:t>
      </w:r>
      <w:proofErr w:type="gramStart"/>
      <w:r w:rsidR="0078001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F068F" w:rsidRPr="00AF068F">
        <w:rPr>
          <w:rFonts w:ascii="Times New Roman" w:hAnsi="Times New Roman" w:cs="Times New Roman"/>
          <w:sz w:val="24"/>
          <w:szCs w:val="24"/>
        </w:rPr>
        <w:t xml:space="preserve"> город Нижний Новгород,</w:t>
      </w:r>
      <w:r w:rsidR="0078001B">
        <w:rPr>
          <w:rFonts w:ascii="Times New Roman" w:hAnsi="Times New Roman" w:cs="Times New Roman"/>
          <w:sz w:val="24"/>
          <w:szCs w:val="24"/>
        </w:rPr>
        <w:t xml:space="preserve"> г</w:t>
      </w:r>
      <w:r w:rsidR="00B179E1">
        <w:rPr>
          <w:rFonts w:ascii="Times New Roman" w:hAnsi="Times New Roman" w:cs="Times New Roman"/>
          <w:sz w:val="24"/>
          <w:szCs w:val="24"/>
        </w:rPr>
        <w:t xml:space="preserve"> Нижний Новгород,</w:t>
      </w:r>
      <w:r w:rsid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ул. Краснодарская, земельный участок 23</w:t>
      </w:r>
      <w:r w:rsidR="00E16FD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78001B">
        <w:rPr>
          <w:rFonts w:ascii="Times New Roman" w:hAnsi="Times New Roman" w:cs="Times New Roman"/>
          <w:sz w:val="24"/>
          <w:szCs w:val="24"/>
        </w:rPr>
        <w:t>622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8001B">
        <w:rPr>
          <w:rFonts w:ascii="Times New Roman" w:hAnsi="Times New Roman" w:cs="Times New Roman"/>
          <w:sz w:val="24"/>
          <w:szCs w:val="24"/>
        </w:rPr>
        <w:t>+/-9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E16FD0">
        <w:rPr>
          <w:rFonts w:ascii="Times New Roman" w:hAnsi="Times New Roman" w:cs="Times New Roman"/>
          <w:color w:val="000000"/>
          <w:sz w:val="24"/>
          <w:szCs w:val="24"/>
        </w:rPr>
        <w:t>190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CE1050" w:rsidRPr="00CE1050">
        <w:rPr>
          <w:rFonts w:ascii="Times New Roman" w:hAnsi="Times New Roman" w:cs="Times New Roman"/>
          <w:sz w:val="24"/>
          <w:szCs w:val="24"/>
        </w:rPr>
        <w:t>52:18:0010411:190-52/279/2024-1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0E14CE" w:rsidRDefault="000E14C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F91C7D" w:rsidRPr="0078001B">
        <w:rPr>
          <w:rFonts w:ascii="Times New Roman" w:hAnsi="Times New Roman" w:cs="Times New Roman"/>
          <w:color w:val="000000"/>
          <w:sz w:val="24"/>
          <w:szCs w:val="24"/>
        </w:rPr>
        <w:t>ул. Краснодарская, земельный участок 23</w:t>
      </w:r>
      <w:r w:rsidR="00E16FD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F91C7D">
        <w:rPr>
          <w:rFonts w:ascii="Times New Roman" w:hAnsi="Times New Roman" w:cs="Times New Roman"/>
          <w:sz w:val="24"/>
          <w:szCs w:val="24"/>
        </w:rPr>
        <w:t>38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E14CE" w:rsidRDefault="000E14CE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 (сектор 109) 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 124/01-13 от 15.10.2024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>
        <w:rPr>
          <w:rFonts w:ascii="Times New Roman" w:hAnsi="Times New Roman" w:cs="Times New Roman"/>
          <w:b/>
          <w:sz w:val="24"/>
          <w:szCs w:val="24"/>
        </w:rPr>
        <w:t>до 15.10.2027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водного потока при половодье вероятностью превышения – 1%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A4250D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FD0">
        <w:rPr>
          <w:rFonts w:ascii="Times New Roman" w:hAnsi="Times New Roman" w:cs="Times New Roman"/>
          <w:b/>
          <w:sz w:val="24"/>
          <w:szCs w:val="24"/>
        </w:rPr>
        <w:t>2 648 640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E16FD0">
        <w:rPr>
          <w:rFonts w:ascii="Times New Roman" w:hAnsi="Times New Roman" w:cs="Times New Roman"/>
          <w:b/>
          <w:sz w:val="24"/>
          <w:szCs w:val="24"/>
        </w:rPr>
        <w:t>два миллиона шестьсот сорок восемь тысяч шестьсот сорок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06810">
        <w:rPr>
          <w:rFonts w:ascii="Times New Roman" w:hAnsi="Times New Roman" w:cs="Times New Roman"/>
          <w:bCs/>
          <w:sz w:val="24"/>
          <w:szCs w:val="24"/>
        </w:rPr>
        <w:t>03.08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104-13/14-1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810">
        <w:rPr>
          <w:rFonts w:ascii="Times New Roman" w:hAnsi="Times New Roman" w:cs="Times New Roman"/>
          <w:bCs/>
          <w:sz w:val="24"/>
          <w:szCs w:val="24"/>
        </w:rPr>
        <w:t>площадью 622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666649">
        <w:rPr>
          <w:rFonts w:ascii="Times New Roman" w:hAnsi="Times New Roman" w:cs="Times New Roman"/>
          <w:bCs/>
          <w:sz w:val="24"/>
          <w:szCs w:val="24"/>
        </w:rPr>
        <w:t>тровый номер: 52:18:0010411:190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66649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666649">
        <w:rPr>
          <w:rFonts w:ascii="Times New Roman" w:hAnsi="Times New Roman" w:cs="Times New Roman"/>
          <w:bCs/>
          <w:sz w:val="24"/>
          <w:szCs w:val="24"/>
        </w:rPr>
        <w:t xml:space="preserve"> р-н, ул</w:t>
      </w:r>
      <w:proofErr w:type="gramStart"/>
      <w:r w:rsidR="00666649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666649">
        <w:rPr>
          <w:rFonts w:ascii="Times New Roman" w:hAnsi="Times New Roman" w:cs="Times New Roman"/>
          <w:bCs/>
          <w:sz w:val="24"/>
          <w:szCs w:val="24"/>
        </w:rPr>
        <w:t>раснодарская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6649">
        <w:rPr>
          <w:rFonts w:ascii="Times New Roman" w:hAnsi="Times New Roman" w:cs="Times New Roman"/>
          <w:bCs/>
          <w:sz w:val="24"/>
          <w:szCs w:val="24"/>
        </w:rPr>
        <w:t>земельный участок 23П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666649">
        <w:rPr>
          <w:rFonts w:ascii="Times New Roman" w:hAnsi="Times New Roman" w:cs="Times New Roman"/>
          <w:b/>
          <w:sz w:val="24"/>
          <w:szCs w:val="24"/>
        </w:rPr>
        <w:t>79 450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 1 324 320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 триста двадцать четыре тысячи триста двадцать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3705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28.01.2025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29.01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30.01.2025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00198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CE" w:rsidRDefault="000E14CE" w:rsidP="00414F0A">
      <w:pPr>
        <w:spacing w:after="0" w:line="240" w:lineRule="auto"/>
      </w:pPr>
      <w:r>
        <w:separator/>
      </w:r>
    </w:p>
  </w:endnote>
  <w:endnote w:type="continuationSeparator" w:id="0">
    <w:p w:rsidR="000E14CE" w:rsidRDefault="000E14CE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CE" w:rsidRDefault="000E14CE" w:rsidP="00414F0A">
      <w:pPr>
        <w:spacing w:after="0" w:line="240" w:lineRule="auto"/>
      </w:pPr>
      <w:r>
        <w:separator/>
      </w:r>
    </w:p>
  </w:footnote>
  <w:footnote w:type="continuationSeparator" w:id="0">
    <w:p w:rsidR="000E14CE" w:rsidRDefault="000E14CE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0E14CE" w:rsidRDefault="00533A71">
        <w:pPr>
          <w:pStyle w:val="a3"/>
          <w:jc w:val="center"/>
        </w:pPr>
        <w:fldSimple w:instr=" PAGE   \* MERGEFORMAT ">
          <w:r w:rsidR="00A94CA6">
            <w:rPr>
              <w:noProof/>
            </w:rPr>
            <w:t>15</w:t>
          </w:r>
        </w:fldSimple>
      </w:p>
    </w:sdtContent>
  </w:sdt>
  <w:p w:rsidR="000E14CE" w:rsidRDefault="000E14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6511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D13E5"/>
    <w:rsid w:val="000E14CE"/>
    <w:rsid w:val="000E39A6"/>
    <w:rsid w:val="000E3FFC"/>
    <w:rsid w:val="000F51B8"/>
    <w:rsid w:val="00102894"/>
    <w:rsid w:val="00107F88"/>
    <w:rsid w:val="00152084"/>
    <w:rsid w:val="0017054B"/>
    <w:rsid w:val="00174CC1"/>
    <w:rsid w:val="00190D47"/>
    <w:rsid w:val="00192088"/>
    <w:rsid w:val="001A6376"/>
    <w:rsid w:val="001D1847"/>
    <w:rsid w:val="001D22B0"/>
    <w:rsid w:val="001D52C9"/>
    <w:rsid w:val="001D58CB"/>
    <w:rsid w:val="001E2F99"/>
    <w:rsid w:val="001F11CA"/>
    <w:rsid w:val="001F3FDE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CF7"/>
    <w:rsid w:val="00301E91"/>
    <w:rsid w:val="00306196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F093D"/>
    <w:rsid w:val="004F32E0"/>
    <w:rsid w:val="004F471E"/>
    <w:rsid w:val="00506810"/>
    <w:rsid w:val="0051519C"/>
    <w:rsid w:val="00533A71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6F3F"/>
    <w:rsid w:val="006047D7"/>
    <w:rsid w:val="00605181"/>
    <w:rsid w:val="00605685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663AE"/>
    <w:rsid w:val="009668D9"/>
    <w:rsid w:val="00984138"/>
    <w:rsid w:val="0098503C"/>
    <w:rsid w:val="00992358"/>
    <w:rsid w:val="00992516"/>
    <w:rsid w:val="009A7A13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033"/>
    <w:rsid w:val="00A305A8"/>
    <w:rsid w:val="00A32803"/>
    <w:rsid w:val="00A3667E"/>
    <w:rsid w:val="00A36DAE"/>
    <w:rsid w:val="00A4250D"/>
    <w:rsid w:val="00A6360A"/>
    <w:rsid w:val="00A81A4B"/>
    <w:rsid w:val="00A8691C"/>
    <w:rsid w:val="00A94CA6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EDD"/>
    <w:rsid w:val="00C432AB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44A0-DE95-4CBD-AA61-5A1FD836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15</Pages>
  <Words>6129</Words>
  <Characters>34939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42</cp:revision>
  <cp:lastPrinted>2024-12-04T13:45:00Z</cp:lastPrinted>
  <dcterms:created xsi:type="dcterms:W3CDTF">2024-02-21T14:24:00Z</dcterms:created>
  <dcterms:modified xsi:type="dcterms:W3CDTF">2024-12-20T13:32:00Z</dcterms:modified>
</cp:coreProperties>
</file>