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52:18:0010411:181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Богатырская, земельный участок 54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779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Нижний Новгород (Стригино) подзона 4 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приаэродромной территории</w:t>
      </w:r>
      <w:r>
        <w:rPr>
          <w:sz w:val="28"/>
          <w:szCs w:val="28"/>
        </w:rPr>
        <w:t xml:space="preserve"> аэродрома Нижний Новгород (Стригино) (реестровый номер: 52:00-6.1079): подзона 4 (реестровый номер: 52:00-6.1083) (сектор 90)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3, внешняя горизонтальная поверхность) </w:t>
      </w:r>
      <w:r>
        <w:rPr>
          <w:sz w:val="28"/>
          <w:szCs w:val="28"/>
        </w:rPr>
        <w:t xml:space="preserve">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</w:t>
      </w:r>
      <w:r>
        <w:rPr>
          <w:sz w:val="28"/>
          <w:szCs w:val="28"/>
        </w:rPr>
        <w:t xml:space="preserve">Сормово) (подзона 4, 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приаэродромной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5)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</w:t>
      </w:r>
      <w:r>
        <w:rPr>
          <w:sz w:val="28"/>
          <w:szCs w:val="28"/>
        </w:rPr>
        <w:t xml:space="preserve">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зоны</w:t>
      </w:r>
      <w:r>
        <w:rPr>
          <w:sz w:val="28"/>
          <w:szCs w:val="28"/>
        </w:rPr>
        <w:t xml:space="preserve"> умере</w:t>
      </w:r>
      <w:r>
        <w:rPr>
          <w:sz w:val="28"/>
          <w:szCs w:val="28"/>
        </w:rPr>
        <w:t xml:space="preserve">нного подтопления, установленной</w:t>
      </w:r>
      <w:r>
        <w:rPr>
          <w:sz w:val="28"/>
          <w:szCs w:val="28"/>
        </w:rPr>
        <w:t xml:space="preserve"> в отношении территорий г.Н.</w:t>
      </w:r>
      <w:r>
        <w:rPr>
          <w:sz w:val="28"/>
          <w:szCs w:val="28"/>
        </w:rPr>
        <w:t xml:space="preserve">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</w:t>
      </w:r>
      <w:r>
        <w:rPr>
          <w:sz w:val="28"/>
          <w:szCs w:val="28"/>
        </w:rPr>
        <w:t xml:space="preserve">еестровый номер: 52:18-6.4775)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зоны</w:t>
      </w:r>
      <w:r>
        <w:rPr>
          <w:sz w:val="28"/>
          <w:szCs w:val="28"/>
        </w:rPr>
        <w:t xml:space="preserve"> санитарной охраны поверхностного источника хозяйственно -питьевого водоснабжения (р. Волга) (2, 3 пояс) для водозабора АО «НЗ 70-летия Победы» (реестровые номера: 52:00-6.1160, 52:00-6.1162)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</w:t>
      </w:r>
      <w:r>
        <w:rPr>
          <w:i/>
          <w:iCs/>
          <w:sz w:val="28"/>
          <w:szCs w:val="28"/>
        </w:rPr>
        <w:t xml:space="preserve">2</w:t>
      </w:r>
      <w:r>
        <w:rPr>
          <w:i/>
          <w:iCs/>
          <w:sz w:val="28"/>
          <w:szCs w:val="28"/>
        </w:rPr>
        <w:t xml:space="preserve">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Богатырская, земельный участок 54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52:18:0010411:181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Богатырская, земельный участок 54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779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737" w:default="1">
    <w:name w:val="Default Paragraph Font"/>
    <w:uiPriority w:val="1"/>
    <w:semiHidden/>
    <w:unhideWhenUsed/>
  </w:style>
  <w:style w:type="numbering" w:styleId="1738" w:default="1">
    <w:name w:val="No List"/>
    <w:uiPriority w:val="99"/>
    <w:semiHidden/>
    <w:unhideWhenUsed/>
  </w:style>
  <w:style w:type="table" w:styleId="17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147</cp:revision>
  <dcterms:created xsi:type="dcterms:W3CDTF">2017-11-02T13:06:00Z</dcterms:created>
  <dcterms:modified xsi:type="dcterms:W3CDTF">2024-12-23T14:02:30Z</dcterms:modified>
  <cp:version>786432</cp:version>
</cp:coreProperties>
</file>