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155BE9">
        <w:rPr>
          <w:rFonts w:ascii="Times New Roman" w:hAnsi="Times New Roman" w:cs="Times New Roman"/>
          <w:sz w:val="24"/>
          <w:szCs w:val="24"/>
        </w:rPr>
        <w:t xml:space="preserve">от 20.12.2024 № 11923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C3256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г.о</w:t>
      </w:r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Краснодарская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C32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9849B0">
        <w:rPr>
          <w:rFonts w:ascii="Times New Roman" w:hAnsi="Times New Roman" w:cs="Times New Roman"/>
          <w:sz w:val="24"/>
          <w:szCs w:val="24"/>
        </w:rPr>
        <w:t xml:space="preserve"> 614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42EC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9849B0">
        <w:rPr>
          <w:rFonts w:ascii="Times New Roman" w:hAnsi="Times New Roman" w:cs="Times New Roman"/>
          <w:sz w:val="24"/>
          <w:szCs w:val="24"/>
        </w:rPr>
        <w:t>52:18:0010411:17</w:t>
      </w:r>
      <w:r w:rsidR="00A36923">
        <w:rPr>
          <w:rFonts w:ascii="Times New Roman" w:hAnsi="Times New Roman" w:cs="Times New Roman"/>
          <w:sz w:val="24"/>
          <w:szCs w:val="24"/>
        </w:rPr>
        <w:t>9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9F5A86">
        <w:rPr>
          <w:rFonts w:ascii="Times New Roman" w:hAnsi="Times New Roman" w:cs="Times New Roman"/>
          <w:sz w:val="24"/>
          <w:szCs w:val="24"/>
        </w:rPr>
        <w:t>ул.</w:t>
      </w:r>
      <w:r w:rsidR="00A36923">
        <w:rPr>
          <w:rFonts w:ascii="Times New Roman" w:hAnsi="Times New Roman" w:cs="Times New Roman"/>
          <w:color w:val="000000"/>
          <w:sz w:val="24"/>
          <w:szCs w:val="24"/>
        </w:rPr>
        <w:t>Краснодарская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849B0">
        <w:rPr>
          <w:rFonts w:ascii="Times New Roman" w:hAnsi="Times New Roman" w:cs="Times New Roman"/>
          <w:sz w:val="24"/>
          <w:szCs w:val="24"/>
        </w:rPr>
        <w:t>40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(Стригино) подзона 4 (сектор 109) </w:t>
      </w:r>
      <w:r w:rsidR="009849B0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9849B0" w:rsidRPr="009849B0" w:rsidRDefault="009849B0" w:rsidP="00E866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>- приаэродромной территории аэродрома Нижний Новгород (Стригино) (реестровый номер: 52:00-6.1079): подзона 4 (реестровый номер: 52:00-6.1083) 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E55DF">
        <w:rPr>
          <w:rFonts w:ascii="Times New Roman" w:hAnsi="Times New Roman" w:cs="Times New Roman"/>
          <w:b/>
          <w:sz w:val="24"/>
          <w:szCs w:val="24"/>
        </w:rPr>
        <w:t>№ 125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F9470A">
        <w:rPr>
          <w:rFonts w:ascii="Times New Roman" w:hAnsi="Times New Roman" w:cs="Times New Roman"/>
          <w:b/>
          <w:sz w:val="24"/>
          <w:szCs w:val="24"/>
        </w:rPr>
        <w:t>01-13 от 15.10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F9470A">
        <w:rPr>
          <w:rFonts w:ascii="Times New Roman" w:hAnsi="Times New Roman" w:cs="Times New Roman"/>
          <w:b/>
          <w:sz w:val="24"/>
          <w:szCs w:val="24"/>
        </w:rPr>
        <w:t>до 15.10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/>
          <w:sz w:val="24"/>
          <w:szCs w:val="24"/>
        </w:rPr>
        <w:t>2 618 640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E165B">
        <w:rPr>
          <w:rFonts w:ascii="Times New Roman" w:hAnsi="Times New Roman" w:cs="Times New Roman"/>
          <w:b/>
          <w:sz w:val="24"/>
          <w:szCs w:val="24"/>
        </w:rPr>
        <w:t>два миллиона шестьсот восемнадцать тысяч шестьсот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165B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13/1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площадью 614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5E165B">
        <w:rPr>
          <w:rFonts w:ascii="Times New Roman" w:hAnsi="Times New Roman" w:cs="Times New Roman"/>
          <w:bCs/>
          <w:sz w:val="24"/>
          <w:szCs w:val="24"/>
        </w:rPr>
        <w:t>2:18:0010411:17</w:t>
      </w:r>
      <w:r w:rsidR="00206866">
        <w:rPr>
          <w:rFonts w:ascii="Times New Roman" w:hAnsi="Times New Roman" w:cs="Times New Roman"/>
          <w:bCs/>
          <w:sz w:val="24"/>
          <w:szCs w:val="24"/>
        </w:rPr>
        <w:t>9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Сормовский р-н, ул.</w:t>
      </w:r>
      <w:r w:rsidR="00666649">
        <w:rPr>
          <w:rFonts w:ascii="Times New Roman" w:hAnsi="Times New Roman" w:cs="Times New Roman"/>
          <w:bCs/>
          <w:sz w:val="24"/>
          <w:szCs w:val="24"/>
        </w:rPr>
        <w:t>Краснодарская</w:t>
      </w:r>
      <w:r w:rsidR="005E165B">
        <w:rPr>
          <w:rFonts w:ascii="Times New Roman" w:hAnsi="Times New Roman" w:cs="Times New Roman"/>
          <w:bCs/>
          <w:sz w:val="24"/>
          <w:szCs w:val="24"/>
        </w:rPr>
        <w:t>, земельный участок 23Р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5E165B">
        <w:rPr>
          <w:rFonts w:ascii="Times New Roman" w:hAnsi="Times New Roman" w:cs="Times New Roman"/>
          <w:b/>
          <w:sz w:val="24"/>
          <w:szCs w:val="24"/>
        </w:rPr>
        <w:t>78 550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E165B">
        <w:rPr>
          <w:rFonts w:ascii="Times New Roman" w:hAnsi="Times New Roman" w:cs="Times New Roman"/>
          <w:b/>
          <w:bCs/>
          <w:sz w:val="24"/>
          <w:szCs w:val="24"/>
        </w:rPr>
        <w:t> 1 309 320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5E165B">
        <w:rPr>
          <w:rFonts w:ascii="Times New Roman" w:hAnsi="Times New Roman" w:cs="Times New Roman"/>
          <w:b/>
          <w:sz w:val="24"/>
          <w:szCs w:val="24"/>
        </w:rPr>
        <w:t xml:space="preserve"> триста девять</w:t>
      </w:r>
      <w:r w:rsidR="009F5A86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5E165B">
        <w:rPr>
          <w:rFonts w:ascii="Times New Roman" w:hAnsi="Times New Roman" w:cs="Times New Roman"/>
          <w:b/>
          <w:sz w:val="24"/>
          <w:szCs w:val="24"/>
        </w:rPr>
        <w:t xml:space="preserve"> триста двадцать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30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31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sz w:val="24"/>
          <w:szCs w:val="24"/>
        </w:rPr>
        <w:t>03.02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5E165B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lastRenderedPageBreak/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lastRenderedPageBreak/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</w:t>
      </w:r>
      <w:r w:rsidRPr="00821521">
        <w:rPr>
          <w:rFonts w:ascii="Times New Roman" w:hAnsi="Times New Roman" w:cs="Times New Roman"/>
          <w:sz w:val="24"/>
          <w:szCs w:val="24"/>
        </w:rPr>
        <w:lastRenderedPageBreak/>
        <w:t>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B35AA1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86" w:rsidRDefault="009F5A86" w:rsidP="00414F0A">
      <w:pPr>
        <w:spacing w:after="0" w:line="240" w:lineRule="auto"/>
      </w:pPr>
      <w:r>
        <w:separator/>
      </w:r>
    </w:p>
  </w:endnote>
  <w:endnote w:type="continuationSeparator" w:id="0">
    <w:p w:rsidR="009F5A86" w:rsidRDefault="009F5A86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86" w:rsidRDefault="009F5A86" w:rsidP="00414F0A">
      <w:pPr>
        <w:spacing w:after="0" w:line="240" w:lineRule="auto"/>
      </w:pPr>
      <w:r>
        <w:separator/>
      </w:r>
    </w:p>
  </w:footnote>
  <w:footnote w:type="continuationSeparator" w:id="0">
    <w:p w:rsidR="009F5A86" w:rsidRDefault="009F5A86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9F5A86" w:rsidRDefault="00D810C8">
        <w:pPr>
          <w:pStyle w:val="a3"/>
          <w:jc w:val="center"/>
        </w:pPr>
        <w:fldSimple w:instr=" PAGE   \* MERGEFORMAT ">
          <w:r w:rsidR="00155BE9">
            <w:rPr>
              <w:noProof/>
            </w:rPr>
            <w:t>15</w:t>
          </w:r>
        </w:fldSimple>
      </w:p>
    </w:sdtContent>
  </w:sdt>
  <w:p w:rsidR="009F5A86" w:rsidRDefault="009F5A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55BE9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0C8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6770-0BE4-4C3C-8BAC-6814968E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15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53</cp:revision>
  <cp:lastPrinted>2024-12-11T14:19:00Z</cp:lastPrinted>
  <dcterms:created xsi:type="dcterms:W3CDTF">2024-02-21T14:24:00Z</dcterms:created>
  <dcterms:modified xsi:type="dcterms:W3CDTF">2024-12-20T13:42:00Z</dcterms:modified>
</cp:coreProperties>
</file>