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2626C9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BE4401">
        <w:rPr>
          <w:rFonts w:ascii="Times New Roman" w:hAnsi="Times New Roman" w:cs="Times New Roman"/>
          <w:sz w:val="24"/>
          <w:szCs w:val="24"/>
        </w:rPr>
        <w:t>от 20.12.2024</w:t>
      </w:r>
      <w:r w:rsidR="001D3A72">
        <w:rPr>
          <w:rFonts w:ascii="Times New Roman" w:hAnsi="Times New Roman" w:cs="Times New Roman"/>
          <w:sz w:val="24"/>
          <w:szCs w:val="24"/>
        </w:rPr>
        <w:t xml:space="preserve"> № 11927</w:t>
      </w:r>
      <w:r w:rsidR="00BE4401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2626C9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26C9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2626C9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2626C9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2626C9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2626C9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2626C9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2626C9" w:rsidRPr="002626C9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2626C9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2626C9">
        <w:rPr>
          <w:rFonts w:ascii="Times New Roman" w:hAnsi="Times New Roman" w:cs="Times New Roman"/>
          <w:sz w:val="24"/>
          <w:szCs w:val="24"/>
        </w:rPr>
        <w:t xml:space="preserve"> </w:t>
      </w:r>
      <w:r w:rsidR="002626C9" w:rsidRPr="002626C9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Российская Фед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ерация, Нижегородская область, г</w:t>
      </w:r>
      <w:proofErr w:type="gramStart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.о</w:t>
      </w:r>
      <w:proofErr w:type="gramEnd"/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32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 xml:space="preserve">Нижний Новгород, ул. Добровольцев,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3C70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22A5E" w:rsidRPr="002626C9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B48C8" w:rsidRDefault="006756E0" w:rsidP="00FB48C8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6E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6756E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675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56E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</w:t>
      </w:r>
      <w:proofErr w:type="gramStart"/>
      <w:r w:rsidRPr="006756E0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56E0">
        <w:rPr>
          <w:rFonts w:ascii="Times New Roman" w:hAnsi="Times New Roman" w:cs="Times New Roman"/>
          <w:sz w:val="24"/>
          <w:szCs w:val="24"/>
        </w:rPr>
        <w:t xml:space="preserve"> город Нижний Новгород, г Нижний Новгород, </w:t>
      </w:r>
      <w:r w:rsidR="002626C9" w:rsidRPr="002626C9">
        <w:rPr>
          <w:rFonts w:ascii="Times New Roman" w:hAnsi="Times New Roman" w:cs="Times New Roman"/>
          <w:color w:val="000000"/>
          <w:sz w:val="24"/>
          <w:szCs w:val="24"/>
        </w:rPr>
        <w:t>ул. Доб</w:t>
      </w:r>
      <w:r w:rsidR="003C7045">
        <w:rPr>
          <w:rFonts w:ascii="Times New Roman" w:hAnsi="Times New Roman" w:cs="Times New Roman"/>
          <w:color w:val="000000"/>
          <w:sz w:val="24"/>
          <w:szCs w:val="24"/>
        </w:rPr>
        <w:t>ровольцев, земельный участок 46В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3C7045">
        <w:rPr>
          <w:rFonts w:ascii="Times New Roman" w:hAnsi="Times New Roman" w:cs="Times New Roman"/>
          <w:sz w:val="24"/>
          <w:szCs w:val="24"/>
        </w:rPr>
        <w:t>780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7A0EF9">
        <w:rPr>
          <w:rFonts w:ascii="Times New Roman" w:hAnsi="Times New Roman" w:cs="Times New Roman"/>
          <w:sz w:val="24"/>
          <w:szCs w:val="24"/>
        </w:rPr>
        <w:t>+/10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1D3A72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3C704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43D1" w:rsidRDefault="00E22A5E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1A2515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1A2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515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1A2515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№</w:t>
      </w:r>
      <w:r w:rsidR="001A2515">
        <w:rPr>
          <w:rFonts w:ascii="Times New Roman" w:hAnsi="Times New Roman" w:cs="Times New Roman"/>
          <w:sz w:val="24"/>
          <w:szCs w:val="24"/>
        </w:rPr>
        <w:t xml:space="preserve"> </w:t>
      </w:r>
      <w:r w:rsidR="008143D1">
        <w:rPr>
          <w:rFonts w:ascii="Times New Roman" w:hAnsi="Times New Roman" w:cs="Times New Roman"/>
          <w:sz w:val="24"/>
          <w:szCs w:val="24"/>
        </w:rPr>
        <w:t>52:18:</w:t>
      </w:r>
      <w:r w:rsidR="003C7045">
        <w:rPr>
          <w:rFonts w:ascii="Times New Roman" w:hAnsi="Times New Roman" w:cs="Times New Roman"/>
          <w:sz w:val="24"/>
          <w:szCs w:val="24"/>
        </w:rPr>
        <w:t>0010411:197</w:t>
      </w:r>
      <w:r w:rsidR="004E0471">
        <w:rPr>
          <w:rFonts w:ascii="Times New Roman" w:hAnsi="Times New Roman" w:cs="Times New Roman"/>
          <w:sz w:val="24"/>
          <w:szCs w:val="24"/>
        </w:rPr>
        <w:t>-52/279/2024-1 от 19.02.2024</w:t>
      </w:r>
      <w:r w:rsidR="008143D1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8143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626C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626C9">
        <w:rPr>
          <w:rFonts w:ascii="Times New Roman" w:hAnsi="Times New Roman" w:cs="Times New Roman"/>
          <w:sz w:val="24"/>
          <w:szCs w:val="24"/>
        </w:rPr>
        <w:t>.</w:t>
      </w:r>
      <w:r w:rsidR="003A3A73">
        <w:rPr>
          <w:rFonts w:ascii="Times New Roman" w:hAnsi="Times New Roman" w:cs="Times New Roman"/>
          <w:sz w:val="24"/>
          <w:szCs w:val="24"/>
        </w:rPr>
        <w:t xml:space="preserve"> </w:t>
      </w:r>
      <w:r w:rsidR="002626C9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2626C9">
        <w:rPr>
          <w:rFonts w:ascii="Times New Roman" w:hAnsi="Times New Roman" w:cs="Times New Roman"/>
          <w:color w:val="000000"/>
          <w:sz w:val="24"/>
          <w:szCs w:val="24"/>
        </w:rPr>
        <w:t>ул. Добровольцев</w:t>
      </w:r>
      <w:r w:rsidR="00C5151B">
        <w:rPr>
          <w:rFonts w:ascii="Times New Roman" w:hAnsi="Times New Roman" w:cs="Times New Roman"/>
          <w:color w:val="000000"/>
          <w:sz w:val="24"/>
          <w:szCs w:val="24"/>
        </w:rPr>
        <w:t xml:space="preserve">, земельный участок </w:t>
      </w:r>
      <w:r w:rsidR="007A0EF9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3C704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1D3A72">
        <w:rPr>
          <w:rFonts w:ascii="Times New Roman" w:hAnsi="Times New Roman" w:cs="Times New Roman"/>
          <w:sz w:val="24"/>
          <w:szCs w:val="24"/>
        </w:rPr>
        <w:t>4</w:t>
      </w:r>
      <w:r w:rsidR="003C7045">
        <w:rPr>
          <w:rFonts w:ascii="Times New Roman" w:hAnsi="Times New Roman" w:cs="Times New Roman"/>
          <w:sz w:val="24"/>
          <w:szCs w:val="24"/>
        </w:rPr>
        <w:t>8</w:t>
      </w:r>
      <w:r w:rsidR="00C5151B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F91C7D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F31640" w:rsidRDefault="00F31640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жен в территориальной зоне </w:t>
      </w:r>
      <w:r w:rsidR="006A15E1" w:rsidRPr="00BF24C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3279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3279F">
        <w:rPr>
          <w:rFonts w:ascii="Times New Roman" w:hAnsi="Times New Roman" w:cs="Times New Roman"/>
          <w:sz w:val="24"/>
          <w:szCs w:val="24"/>
        </w:rPr>
        <w:t xml:space="preserve"> 4 (сектор 109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F31640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3B6F1F">
        <w:rPr>
          <w:rFonts w:ascii="Times New Roman" w:hAnsi="Times New Roman" w:cs="Times New Roman"/>
          <w:sz w:val="24"/>
          <w:szCs w:val="24"/>
        </w:rPr>
        <w:t xml:space="preserve"> </w:t>
      </w:r>
      <w:r w:rsidR="003B6F1F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1E2D14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D3A72"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D3A72" w:rsidRPr="006A15E1" w:rsidRDefault="001D3A72" w:rsidP="001D3A7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зоны слабого подтопления, установленной</w:t>
      </w:r>
      <w:r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</w:t>
      </w:r>
      <w:r>
        <w:rPr>
          <w:rFonts w:ascii="Times New Roman" w:hAnsi="Times New Roman" w:cs="Times New Roman"/>
          <w:sz w:val="24"/>
          <w:szCs w:val="24"/>
        </w:rPr>
        <w:t xml:space="preserve"> (реестровый номер: 52:18-6.4774</w:t>
      </w:r>
      <w:r w:rsidRPr="006A15E1">
        <w:rPr>
          <w:rFonts w:ascii="Times New Roman" w:hAnsi="Times New Roman" w:cs="Times New Roman"/>
          <w:sz w:val="24"/>
          <w:szCs w:val="24"/>
        </w:rPr>
        <w:t>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(частично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C7045">
        <w:rPr>
          <w:rFonts w:ascii="Times New Roman" w:hAnsi="Times New Roman" w:cs="Times New Roman"/>
          <w:b/>
          <w:sz w:val="24"/>
          <w:szCs w:val="24"/>
        </w:rPr>
        <w:t>№ 148</w:t>
      </w:r>
      <w:r w:rsidR="001D3A72">
        <w:rPr>
          <w:rFonts w:ascii="Times New Roman" w:hAnsi="Times New Roman" w:cs="Times New Roman"/>
          <w:b/>
          <w:sz w:val="24"/>
          <w:szCs w:val="24"/>
        </w:rPr>
        <w:t>/01-13 от 17</w:t>
      </w:r>
      <w:r>
        <w:rPr>
          <w:rFonts w:ascii="Times New Roman" w:hAnsi="Times New Roman" w:cs="Times New Roman"/>
          <w:b/>
          <w:sz w:val="24"/>
          <w:szCs w:val="24"/>
        </w:rPr>
        <w:t>.10.2024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1D3A72">
        <w:rPr>
          <w:rFonts w:ascii="Times New Roman" w:hAnsi="Times New Roman" w:cs="Times New Roman"/>
          <w:b/>
          <w:sz w:val="24"/>
          <w:szCs w:val="24"/>
        </w:rPr>
        <w:t>до 17</w:t>
      </w:r>
      <w:r>
        <w:rPr>
          <w:rFonts w:ascii="Times New Roman" w:hAnsi="Times New Roman" w:cs="Times New Roman"/>
          <w:b/>
          <w:sz w:val="24"/>
          <w:szCs w:val="24"/>
        </w:rPr>
        <w:t>.10.2027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</w:t>
      </w:r>
      <w:r w:rsidR="001E2D14">
        <w:rPr>
          <w:rFonts w:ascii="Times New Roman" w:hAnsi="Times New Roman" w:cs="Times New Roman"/>
          <w:sz w:val="24"/>
          <w:szCs w:val="24"/>
        </w:rPr>
        <w:t>1% (</w:t>
      </w:r>
      <w:r>
        <w:rPr>
          <w:rFonts w:ascii="Times New Roman" w:hAnsi="Times New Roman" w:cs="Times New Roman"/>
          <w:sz w:val="24"/>
          <w:szCs w:val="24"/>
        </w:rPr>
        <w:t>с учетом существующей застройки на смежных территориях).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756A46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756A46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1E2D14">
        <w:rPr>
          <w:rFonts w:ascii="Times New Roman" w:hAnsi="Times New Roman" w:cs="Times New Roman"/>
          <w:sz w:val="24"/>
          <w:szCs w:val="24"/>
        </w:rPr>
        <w:t>ана водных объектов»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lastRenderedPageBreak/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3A3A73" w:rsidP="003A3A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</w:t>
      </w:r>
      <w:r w:rsidR="00163028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ED6908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="00ED6908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ED6908"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F31640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F31640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F31640">
        <w:rPr>
          <w:rFonts w:ascii="Times New Roman" w:hAnsi="Times New Roman" w:cs="Times New Roman"/>
          <w:sz w:val="24"/>
          <w:szCs w:val="24"/>
        </w:rPr>
        <w:t>/час, наружному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ED6908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F31640">
        <w:rPr>
          <w:rFonts w:ascii="Times New Roman" w:hAnsi="Times New Roman" w:cs="Times New Roman"/>
          <w:sz w:val="24"/>
          <w:szCs w:val="24"/>
        </w:rPr>
        <w:t>ению</w:t>
      </w:r>
      <w:r w:rsidR="001E2D14">
        <w:rPr>
          <w:rFonts w:ascii="Times New Roman" w:hAnsi="Times New Roman" w:cs="Times New Roman"/>
          <w:sz w:val="24"/>
          <w:szCs w:val="24"/>
        </w:rPr>
        <w:t xml:space="preserve"> 10 л/с</w:t>
      </w:r>
      <w:r w:rsidR="00ED6908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ED1970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8E0515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57E3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7045">
        <w:rPr>
          <w:rFonts w:ascii="Times New Roman" w:hAnsi="Times New Roman" w:cs="Times New Roman"/>
          <w:b/>
          <w:sz w:val="24"/>
          <w:szCs w:val="24"/>
        </w:rPr>
        <w:t>3  294 570</w:t>
      </w:r>
      <w:r w:rsidR="00354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A16C9E">
        <w:rPr>
          <w:rFonts w:ascii="Times New Roman" w:hAnsi="Times New Roman" w:cs="Times New Roman"/>
          <w:b/>
          <w:sz w:val="24"/>
          <w:szCs w:val="24"/>
        </w:rPr>
        <w:t>три</w:t>
      </w:r>
      <w:r w:rsidR="00192E26">
        <w:rPr>
          <w:rFonts w:ascii="Times New Roman" w:hAnsi="Times New Roman" w:cs="Times New Roman"/>
          <w:b/>
          <w:sz w:val="24"/>
          <w:szCs w:val="24"/>
        </w:rPr>
        <w:t xml:space="preserve"> миллиона</w:t>
      </w:r>
      <w:r w:rsidR="00263221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3C7045">
        <w:rPr>
          <w:rFonts w:ascii="Times New Roman" w:hAnsi="Times New Roman" w:cs="Times New Roman"/>
          <w:b/>
          <w:sz w:val="24"/>
          <w:szCs w:val="24"/>
        </w:rPr>
        <w:t xml:space="preserve"> девяносто четыре тысячи пятьсот 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92E26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104-1</w:t>
      </w:r>
      <w:r w:rsidR="00263221">
        <w:rPr>
          <w:rFonts w:ascii="Times New Roman" w:hAnsi="Times New Roman" w:cs="Times New Roman"/>
          <w:bCs/>
          <w:sz w:val="24"/>
          <w:szCs w:val="24"/>
        </w:rPr>
        <w:t>3/0</w:t>
      </w:r>
      <w:r w:rsidR="003C7045">
        <w:rPr>
          <w:rFonts w:ascii="Times New Roman" w:hAnsi="Times New Roman" w:cs="Times New Roman"/>
          <w:bCs/>
          <w:sz w:val="24"/>
          <w:szCs w:val="24"/>
        </w:rPr>
        <w:t>2</w:t>
      </w:r>
      <w:r w:rsidR="00192E2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7045">
        <w:rPr>
          <w:rFonts w:ascii="Times New Roman" w:hAnsi="Times New Roman" w:cs="Times New Roman"/>
          <w:bCs/>
          <w:sz w:val="24"/>
          <w:szCs w:val="24"/>
        </w:rPr>
        <w:t>площадью 780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A16C9E">
        <w:rPr>
          <w:rFonts w:ascii="Times New Roman" w:hAnsi="Times New Roman" w:cs="Times New Roman"/>
          <w:bCs/>
          <w:sz w:val="24"/>
          <w:szCs w:val="24"/>
        </w:rPr>
        <w:t xml:space="preserve">тровый номер: </w:t>
      </w:r>
      <w:r w:rsidR="003C7045">
        <w:rPr>
          <w:rFonts w:ascii="Times New Roman" w:hAnsi="Times New Roman" w:cs="Times New Roman"/>
          <w:bCs/>
          <w:sz w:val="24"/>
          <w:szCs w:val="24"/>
        </w:rPr>
        <w:t>52:18:0010411:197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3A3A73">
        <w:rPr>
          <w:rFonts w:ascii="Times New Roman" w:hAnsi="Times New Roman" w:cs="Times New Roman"/>
          <w:bCs/>
          <w:sz w:val="24"/>
          <w:szCs w:val="24"/>
        </w:rPr>
        <w:t>,</w:t>
      </w:r>
      <w:r w:rsidR="00192E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92E26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192E26">
        <w:rPr>
          <w:rFonts w:ascii="Times New Roman" w:hAnsi="Times New Roman" w:cs="Times New Roman"/>
          <w:bCs/>
          <w:sz w:val="24"/>
          <w:szCs w:val="24"/>
        </w:rPr>
        <w:t xml:space="preserve"> р-н,</w:t>
      </w:r>
      <w:r w:rsidR="003A3A73">
        <w:rPr>
          <w:rFonts w:ascii="Times New Roman" w:hAnsi="Times New Roman" w:cs="Times New Roman"/>
          <w:bCs/>
          <w:sz w:val="24"/>
          <w:szCs w:val="24"/>
        </w:rPr>
        <w:t xml:space="preserve"> ул</w:t>
      </w:r>
      <w:proofErr w:type="gramStart"/>
      <w:r w:rsidR="003A3A73">
        <w:rPr>
          <w:rFonts w:ascii="Times New Roman" w:hAnsi="Times New Roman" w:cs="Times New Roman"/>
          <w:bCs/>
          <w:sz w:val="24"/>
          <w:szCs w:val="24"/>
        </w:rPr>
        <w:t>.Д</w:t>
      </w:r>
      <w:proofErr w:type="gramEnd"/>
      <w:r w:rsidR="003A3A73">
        <w:rPr>
          <w:rFonts w:ascii="Times New Roman" w:hAnsi="Times New Roman" w:cs="Times New Roman"/>
          <w:bCs/>
          <w:sz w:val="24"/>
          <w:szCs w:val="24"/>
        </w:rPr>
        <w:t>обровольцев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1970">
        <w:rPr>
          <w:rFonts w:ascii="Times New Roman" w:hAnsi="Times New Roman" w:cs="Times New Roman"/>
          <w:bCs/>
          <w:sz w:val="24"/>
          <w:szCs w:val="24"/>
        </w:rPr>
        <w:t>земельный уча</w:t>
      </w:r>
      <w:r w:rsidR="00263221">
        <w:rPr>
          <w:rFonts w:ascii="Times New Roman" w:hAnsi="Times New Roman" w:cs="Times New Roman"/>
          <w:bCs/>
          <w:sz w:val="24"/>
          <w:szCs w:val="24"/>
        </w:rPr>
        <w:t>сток 46</w:t>
      </w:r>
      <w:r w:rsidR="003C7045">
        <w:rPr>
          <w:rFonts w:ascii="Times New Roman" w:hAnsi="Times New Roman" w:cs="Times New Roman"/>
          <w:bCs/>
          <w:sz w:val="24"/>
          <w:szCs w:val="24"/>
        </w:rPr>
        <w:t>В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3C7045">
        <w:rPr>
          <w:rFonts w:ascii="Times New Roman" w:hAnsi="Times New Roman" w:cs="Times New Roman"/>
          <w:b/>
          <w:sz w:val="24"/>
          <w:szCs w:val="24"/>
        </w:rPr>
        <w:t>98 830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3C7045">
        <w:rPr>
          <w:rFonts w:ascii="Times New Roman" w:hAnsi="Times New Roman" w:cs="Times New Roman"/>
          <w:b/>
          <w:bCs/>
          <w:sz w:val="24"/>
          <w:szCs w:val="24"/>
        </w:rPr>
        <w:t> 1 647 285</w:t>
      </w:r>
      <w:r w:rsidR="00354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EE009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3C7045">
        <w:rPr>
          <w:rFonts w:ascii="Times New Roman" w:hAnsi="Times New Roman" w:cs="Times New Roman"/>
          <w:b/>
          <w:sz w:val="24"/>
          <w:szCs w:val="24"/>
        </w:rPr>
        <w:t xml:space="preserve"> сорок семь тысяч двести восемьдесят пять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30</w:t>
      </w:r>
      <w:r w:rsidR="00063E20">
        <w:rPr>
          <w:rFonts w:ascii="Times New Roman" w:hAnsi="Times New Roman" w:cs="Times New Roman"/>
          <w:sz w:val="24"/>
          <w:szCs w:val="24"/>
        </w:rPr>
        <w:t>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063E2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27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28</w:t>
      </w:r>
      <w:r w:rsidR="00063E20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63221">
        <w:rPr>
          <w:rFonts w:ascii="Times New Roman" w:hAnsi="Times New Roman" w:cs="Times New Roman"/>
          <w:sz w:val="24"/>
          <w:szCs w:val="24"/>
        </w:rPr>
        <w:t>03.03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3C7045">
        <w:rPr>
          <w:rFonts w:ascii="Times New Roman" w:hAnsi="Times New Roman" w:cs="Times New Roman"/>
          <w:sz w:val="24"/>
          <w:szCs w:val="24"/>
        </w:rPr>
        <w:t>1</w:t>
      </w:r>
      <w:r w:rsidR="0000004F">
        <w:rPr>
          <w:rFonts w:ascii="Times New Roman" w:hAnsi="Times New Roman" w:cs="Times New Roman"/>
          <w:sz w:val="24"/>
          <w:szCs w:val="24"/>
        </w:rPr>
        <w:t xml:space="preserve">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lastRenderedPageBreak/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9E" w:rsidRDefault="00A16C9E" w:rsidP="00414F0A">
      <w:pPr>
        <w:spacing w:after="0" w:line="240" w:lineRule="auto"/>
      </w:pPr>
      <w:r>
        <w:separator/>
      </w:r>
    </w:p>
  </w:endnote>
  <w:endnote w:type="continuationSeparator" w:id="0">
    <w:p w:rsidR="00A16C9E" w:rsidRDefault="00A16C9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9E" w:rsidRDefault="00A16C9E" w:rsidP="00414F0A">
      <w:pPr>
        <w:spacing w:after="0" w:line="240" w:lineRule="auto"/>
      </w:pPr>
      <w:r>
        <w:separator/>
      </w:r>
    </w:p>
  </w:footnote>
  <w:footnote w:type="continuationSeparator" w:id="0">
    <w:p w:rsidR="00A16C9E" w:rsidRDefault="00A16C9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16C9E" w:rsidRDefault="0018261F">
        <w:pPr>
          <w:pStyle w:val="a3"/>
          <w:jc w:val="center"/>
        </w:pPr>
        <w:fldSimple w:instr=" PAGE   \* MERGEFORMAT ">
          <w:r w:rsidR="003C7045">
            <w:rPr>
              <w:noProof/>
            </w:rPr>
            <w:t>8</w:t>
          </w:r>
        </w:fldSimple>
      </w:p>
    </w:sdtContent>
  </w:sdt>
  <w:p w:rsidR="00A16C9E" w:rsidRDefault="00A16C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004F"/>
    <w:rsid w:val="00005157"/>
    <w:rsid w:val="00023650"/>
    <w:rsid w:val="0003088B"/>
    <w:rsid w:val="0003509E"/>
    <w:rsid w:val="00035379"/>
    <w:rsid w:val="00056511"/>
    <w:rsid w:val="00063E20"/>
    <w:rsid w:val="00064E05"/>
    <w:rsid w:val="000736E4"/>
    <w:rsid w:val="00095974"/>
    <w:rsid w:val="000972B7"/>
    <w:rsid w:val="000A1F00"/>
    <w:rsid w:val="000A223E"/>
    <w:rsid w:val="000A6479"/>
    <w:rsid w:val="000B4978"/>
    <w:rsid w:val="000D1260"/>
    <w:rsid w:val="000E39A6"/>
    <w:rsid w:val="000E76C4"/>
    <w:rsid w:val="000F51B8"/>
    <w:rsid w:val="00102894"/>
    <w:rsid w:val="00107F88"/>
    <w:rsid w:val="00152084"/>
    <w:rsid w:val="00163028"/>
    <w:rsid w:val="0017054B"/>
    <w:rsid w:val="00174CC1"/>
    <w:rsid w:val="0018261F"/>
    <w:rsid w:val="00190D47"/>
    <w:rsid w:val="00192088"/>
    <w:rsid w:val="00192E26"/>
    <w:rsid w:val="00195C01"/>
    <w:rsid w:val="001A2515"/>
    <w:rsid w:val="001A6376"/>
    <w:rsid w:val="001D22B0"/>
    <w:rsid w:val="001D3A72"/>
    <w:rsid w:val="001D52C9"/>
    <w:rsid w:val="001D58CB"/>
    <w:rsid w:val="001E2D14"/>
    <w:rsid w:val="001E2F99"/>
    <w:rsid w:val="001F11CA"/>
    <w:rsid w:val="001F3FDE"/>
    <w:rsid w:val="00205DF2"/>
    <w:rsid w:val="00206F06"/>
    <w:rsid w:val="00226E2D"/>
    <w:rsid w:val="002278B1"/>
    <w:rsid w:val="00227B20"/>
    <w:rsid w:val="00230FF4"/>
    <w:rsid w:val="002311CF"/>
    <w:rsid w:val="00233EBE"/>
    <w:rsid w:val="002400EA"/>
    <w:rsid w:val="0025361A"/>
    <w:rsid w:val="002560BD"/>
    <w:rsid w:val="002611BF"/>
    <w:rsid w:val="00261F2C"/>
    <w:rsid w:val="002626C9"/>
    <w:rsid w:val="00263221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9A1"/>
    <w:rsid w:val="002E2AF0"/>
    <w:rsid w:val="002E4718"/>
    <w:rsid w:val="002F25C0"/>
    <w:rsid w:val="002F35AC"/>
    <w:rsid w:val="00300D6E"/>
    <w:rsid w:val="00301CF7"/>
    <w:rsid w:val="00301E91"/>
    <w:rsid w:val="00306196"/>
    <w:rsid w:val="0032658F"/>
    <w:rsid w:val="0033279F"/>
    <w:rsid w:val="00343A35"/>
    <w:rsid w:val="003457B9"/>
    <w:rsid w:val="0035128B"/>
    <w:rsid w:val="00354240"/>
    <w:rsid w:val="00370D68"/>
    <w:rsid w:val="00391983"/>
    <w:rsid w:val="00397BE2"/>
    <w:rsid w:val="003A157F"/>
    <w:rsid w:val="003A3360"/>
    <w:rsid w:val="003A3A73"/>
    <w:rsid w:val="003A3C87"/>
    <w:rsid w:val="003B646A"/>
    <w:rsid w:val="003B6F1F"/>
    <w:rsid w:val="003B7A6F"/>
    <w:rsid w:val="003C00EC"/>
    <w:rsid w:val="003C60D2"/>
    <w:rsid w:val="003C7045"/>
    <w:rsid w:val="003D6243"/>
    <w:rsid w:val="003E5403"/>
    <w:rsid w:val="003F6DA9"/>
    <w:rsid w:val="003F78C0"/>
    <w:rsid w:val="004045E7"/>
    <w:rsid w:val="00412DB8"/>
    <w:rsid w:val="00414F0A"/>
    <w:rsid w:val="0041645C"/>
    <w:rsid w:val="004359F3"/>
    <w:rsid w:val="00446C2B"/>
    <w:rsid w:val="00446DD4"/>
    <w:rsid w:val="004474C3"/>
    <w:rsid w:val="0045478C"/>
    <w:rsid w:val="004652E0"/>
    <w:rsid w:val="00473915"/>
    <w:rsid w:val="0047451F"/>
    <w:rsid w:val="00475BC7"/>
    <w:rsid w:val="004777E3"/>
    <w:rsid w:val="004A5DCE"/>
    <w:rsid w:val="004B19D3"/>
    <w:rsid w:val="004B24F3"/>
    <w:rsid w:val="004C05B9"/>
    <w:rsid w:val="004D0454"/>
    <w:rsid w:val="004D09E5"/>
    <w:rsid w:val="004E0471"/>
    <w:rsid w:val="004F093D"/>
    <w:rsid w:val="004F32E0"/>
    <w:rsid w:val="004F471E"/>
    <w:rsid w:val="00506810"/>
    <w:rsid w:val="0051519C"/>
    <w:rsid w:val="005306EB"/>
    <w:rsid w:val="00530F44"/>
    <w:rsid w:val="00534453"/>
    <w:rsid w:val="0054383B"/>
    <w:rsid w:val="00552395"/>
    <w:rsid w:val="0056028D"/>
    <w:rsid w:val="00560C94"/>
    <w:rsid w:val="00567D2E"/>
    <w:rsid w:val="00573A20"/>
    <w:rsid w:val="0058695A"/>
    <w:rsid w:val="005872AD"/>
    <w:rsid w:val="005A2470"/>
    <w:rsid w:val="005A65A5"/>
    <w:rsid w:val="005B07E3"/>
    <w:rsid w:val="005D16E4"/>
    <w:rsid w:val="005F1211"/>
    <w:rsid w:val="005F1C8C"/>
    <w:rsid w:val="005F6F3F"/>
    <w:rsid w:val="006047D7"/>
    <w:rsid w:val="00605181"/>
    <w:rsid w:val="00605685"/>
    <w:rsid w:val="00610581"/>
    <w:rsid w:val="006149F4"/>
    <w:rsid w:val="00615694"/>
    <w:rsid w:val="006316E2"/>
    <w:rsid w:val="00652576"/>
    <w:rsid w:val="0065360C"/>
    <w:rsid w:val="0065378D"/>
    <w:rsid w:val="00655A2D"/>
    <w:rsid w:val="00664421"/>
    <w:rsid w:val="00666649"/>
    <w:rsid w:val="006756E0"/>
    <w:rsid w:val="00682036"/>
    <w:rsid w:val="00691C23"/>
    <w:rsid w:val="006A15E1"/>
    <w:rsid w:val="006A3263"/>
    <w:rsid w:val="006A49BD"/>
    <w:rsid w:val="006B74C5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5141D"/>
    <w:rsid w:val="00751B8B"/>
    <w:rsid w:val="00756A46"/>
    <w:rsid w:val="00757F16"/>
    <w:rsid w:val="0076035D"/>
    <w:rsid w:val="00763939"/>
    <w:rsid w:val="00764CC3"/>
    <w:rsid w:val="0078001B"/>
    <w:rsid w:val="00785D73"/>
    <w:rsid w:val="00791C48"/>
    <w:rsid w:val="007972AB"/>
    <w:rsid w:val="007A0EF9"/>
    <w:rsid w:val="007A2F83"/>
    <w:rsid w:val="007B57A9"/>
    <w:rsid w:val="007D1B89"/>
    <w:rsid w:val="007E1074"/>
    <w:rsid w:val="007E514A"/>
    <w:rsid w:val="007E5A4D"/>
    <w:rsid w:val="00801419"/>
    <w:rsid w:val="00801D58"/>
    <w:rsid w:val="00803280"/>
    <w:rsid w:val="008143D1"/>
    <w:rsid w:val="00821521"/>
    <w:rsid w:val="0082566B"/>
    <w:rsid w:val="008263FE"/>
    <w:rsid w:val="008410C3"/>
    <w:rsid w:val="00841E67"/>
    <w:rsid w:val="00852DCF"/>
    <w:rsid w:val="008539F1"/>
    <w:rsid w:val="00857E33"/>
    <w:rsid w:val="00864998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24E7"/>
    <w:rsid w:val="00914485"/>
    <w:rsid w:val="00924E83"/>
    <w:rsid w:val="00932D60"/>
    <w:rsid w:val="009338ED"/>
    <w:rsid w:val="00965417"/>
    <w:rsid w:val="009663AE"/>
    <w:rsid w:val="009668D9"/>
    <w:rsid w:val="00984138"/>
    <w:rsid w:val="0098503C"/>
    <w:rsid w:val="00992516"/>
    <w:rsid w:val="009B769E"/>
    <w:rsid w:val="009C3E65"/>
    <w:rsid w:val="009C5C69"/>
    <w:rsid w:val="009C6CFE"/>
    <w:rsid w:val="009D473D"/>
    <w:rsid w:val="009D76BA"/>
    <w:rsid w:val="009F452E"/>
    <w:rsid w:val="009F6AF1"/>
    <w:rsid w:val="009F748E"/>
    <w:rsid w:val="00A024CE"/>
    <w:rsid w:val="00A16C9E"/>
    <w:rsid w:val="00A217C8"/>
    <w:rsid w:val="00A2297B"/>
    <w:rsid w:val="00A232CB"/>
    <w:rsid w:val="00A26232"/>
    <w:rsid w:val="00A305A8"/>
    <w:rsid w:val="00A32803"/>
    <w:rsid w:val="00A3667E"/>
    <w:rsid w:val="00A36DAE"/>
    <w:rsid w:val="00A6360A"/>
    <w:rsid w:val="00A81A4B"/>
    <w:rsid w:val="00A8691C"/>
    <w:rsid w:val="00A9576D"/>
    <w:rsid w:val="00AA0DCF"/>
    <w:rsid w:val="00AA232F"/>
    <w:rsid w:val="00AB1674"/>
    <w:rsid w:val="00AB3F44"/>
    <w:rsid w:val="00AB5957"/>
    <w:rsid w:val="00AC088D"/>
    <w:rsid w:val="00AC6B57"/>
    <w:rsid w:val="00AF068F"/>
    <w:rsid w:val="00B025F8"/>
    <w:rsid w:val="00B13A42"/>
    <w:rsid w:val="00B179E1"/>
    <w:rsid w:val="00B17DFB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1216"/>
    <w:rsid w:val="00BC26DD"/>
    <w:rsid w:val="00BC78D5"/>
    <w:rsid w:val="00BE4401"/>
    <w:rsid w:val="00BF24CE"/>
    <w:rsid w:val="00BF73AF"/>
    <w:rsid w:val="00C012AD"/>
    <w:rsid w:val="00C0144A"/>
    <w:rsid w:val="00C01924"/>
    <w:rsid w:val="00C02790"/>
    <w:rsid w:val="00C076F8"/>
    <w:rsid w:val="00C0798B"/>
    <w:rsid w:val="00C2139D"/>
    <w:rsid w:val="00C24608"/>
    <w:rsid w:val="00C24D33"/>
    <w:rsid w:val="00C32EDD"/>
    <w:rsid w:val="00C432AB"/>
    <w:rsid w:val="00C503A3"/>
    <w:rsid w:val="00C5151B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D18F3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B21A4"/>
    <w:rsid w:val="00DB2D90"/>
    <w:rsid w:val="00DB4952"/>
    <w:rsid w:val="00DB65B0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3824"/>
    <w:rsid w:val="00EB3205"/>
    <w:rsid w:val="00EC02BB"/>
    <w:rsid w:val="00ED064C"/>
    <w:rsid w:val="00ED1970"/>
    <w:rsid w:val="00ED6908"/>
    <w:rsid w:val="00EE009F"/>
    <w:rsid w:val="00EE0CAF"/>
    <w:rsid w:val="00EF4638"/>
    <w:rsid w:val="00F05DD4"/>
    <w:rsid w:val="00F15BEF"/>
    <w:rsid w:val="00F2240A"/>
    <w:rsid w:val="00F31640"/>
    <w:rsid w:val="00F339B0"/>
    <w:rsid w:val="00F61905"/>
    <w:rsid w:val="00F73B9D"/>
    <w:rsid w:val="00F8283F"/>
    <w:rsid w:val="00F91C7D"/>
    <w:rsid w:val="00F9625A"/>
    <w:rsid w:val="00F97261"/>
    <w:rsid w:val="00FA6EBC"/>
    <w:rsid w:val="00FB3235"/>
    <w:rsid w:val="00FB48C8"/>
    <w:rsid w:val="00FC01E9"/>
    <w:rsid w:val="00FC2639"/>
    <w:rsid w:val="00FC662E"/>
    <w:rsid w:val="00FC6732"/>
    <w:rsid w:val="00FC7FED"/>
    <w:rsid w:val="00FD6C7A"/>
    <w:rsid w:val="00FE6B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152EC-0029-4682-B791-811BCF28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15</Pages>
  <Words>6185</Words>
  <Characters>35255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58</cp:revision>
  <cp:lastPrinted>2025-01-14T06:38:00Z</cp:lastPrinted>
  <dcterms:created xsi:type="dcterms:W3CDTF">2024-02-21T14:24:00Z</dcterms:created>
  <dcterms:modified xsi:type="dcterms:W3CDTF">2025-01-16T06:59:00Z</dcterms:modified>
</cp:coreProperties>
</file>