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71" w:rsidRDefault="00EA3D71">
      <w:pPr>
        <w:pStyle w:val="a3"/>
        <w:spacing w:before="0" w:beforeAutospacing="0" w:after="0" w:afterAutospacing="0"/>
        <w:rPr>
          <w:b/>
          <w:sz w:val="26"/>
          <w:szCs w:val="26"/>
        </w:rPr>
      </w:pP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w:t>
      </w:r>
      <w:r w:rsidR="007B24A1">
        <w:rPr>
          <w:b/>
          <w:sz w:val="28"/>
          <w:szCs w:val="28"/>
        </w:rPr>
        <w:t xml:space="preserve">Информационное сообщение </w:t>
      </w:r>
      <w:r w:rsidR="00F26B04">
        <w:rPr>
          <w:b/>
          <w:sz w:val="26"/>
          <w:szCs w:val="26"/>
        </w:rPr>
        <w:t>№ 07</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F26B04">
        <w:rPr>
          <w:b/>
          <w:sz w:val="30"/>
          <w:szCs w:val="30"/>
          <w:u w:val="single"/>
        </w:rPr>
        <w:t>05</w:t>
      </w:r>
      <w:r>
        <w:rPr>
          <w:b/>
          <w:sz w:val="30"/>
          <w:szCs w:val="30"/>
          <w:u w:val="single"/>
        </w:rPr>
        <w:t>»</w:t>
      </w:r>
      <w:r w:rsidR="00F26B04">
        <w:rPr>
          <w:b/>
          <w:sz w:val="30"/>
          <w:szCs w:val="30"/>
          <w:u w:val="single"/>
        </w:rPr>
        <w:t xml:space="preserve"> марта</w:t>
      </w:r>
      <w:r w:rsidR="00AC4931">
        <w:rPr>
          <w:b/>
          <w:sz w:val="30"/>
          <w:szCs w:val="30"/>
          <w:u w:val="single"/>
        </w:rPr>
        <w:t xml:space="preserve"> 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r w:rsidR="007B24A1">
        <w:rPr>
          <w:b/>
          <w:sz w:val="26"/>
          <w:szCs w:val="26"/>
        </w:rPr>
        <w:t>муниципального</w:t>
      </w:r>
    </w:p>
    <w:p w:rsidR="00EA3D71" w:rsidRDefault="00075B4C">
      <w:pPr>
        <w:jc w:val="center"/>
        <w:rPr>
          <w:b/>
          <w:sz w:val="26"/>
          <w:szCs w:val="26"/>
        </w:rPr>
      </w:pPr>
      <w:r>
        <w:rPr>
          <w:b/>
          <w:sz w:val="26"/>
          <w:szCs w:val="26"/>
        </w:rPr>
        <w:t>имущества, находящегося в собственности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p w:rsidR="00EA3D71" w:rsidRDefault="00EA3D71">
      <w:pPr>
        <w:tabs>
          <w:tab w:val="num" w:pos="0"/>
        </w:tabs>
        <w:ind w:firstLine="567"/>
        <w:jc w:val="both"/>
        <w:rPr>
          <w:b/>
          <w:sz w:val="26"/>
          <w:szCs w:val="26"/>
        </w:rPr>
      </w:pP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659"/>
        <w:gridCol w:w="788"/>
        <w:gridCol w:w="791"/>
        <w:gridCol w:w="2005"/>
        <w:gridCol w:w="1476"/>
        <w:gridCol w:w="1338"/>
        <w:gridCol w:w="1331"/>
        <w:gridCol w:w="1300"/>
        <w:gridCol w:w="1417"/>
        <w:gridCol w:w="1285"/>
      </w:tblGrid>
      <w:tr w:rsidR="004E10DD" w:rsidRPr="001133CC" w:rsidTr="002C0FEF">
        <w:trPr>
          <w:cantSplit/>
          <w:trHeight w:val="325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4E10DD" w:rsidRPr="001133CC" w:rsidRDefault="004E10DD" w:rsidP="002C0FEF">
            <w:pPr>
              <w:jc w:val="center"/>
              <w:rPr>
                <w:sz w:val="20"/>
                <w:szCs w:val="20"/>
              </w:rPr>
            </w:pPr>
            <w:r w:rsidRPr="001133CC">
              <w:rPr>
                <w:sz w:val="20"/>
                <w:szCs w:val="20"/>
              </w:rPr>
              <w:lastRenderedPageBreak/>
              <w:t>№</w:t>
            </w:r>
          </w:p>
          <w:p w:rsidR="004E10DD" w:rsidRPr="001133CC" w:rsidRDefault="004E10DD" w:rsidP="002C0FEF">
            <w:pPr>
              <w:jc w:val="center"/>
              <w:rPr>
                <w:sz w:val="20"/>
                <w:szCs w:val="20"/>
              </w:rPr>
            </w:pPr>
            <w:r w:rsidRPr="001133CC">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Наименование</w:t>
            </w:r>
          </w:p>
          <w:p w:rsidR="004E10DD" w:rsidRPr="001133CC" w:rsidRDefault="004E10DD" w:rsidP="002C0FEF">
            <w:pPr>
              <w:jc w:val="center"/>
              <w:rPr>
                <w:sz w:val="20"/>
                <w:szCs w:val="20"/>
              </w:rPr>
            </w:pPr>
            <w:r w:rsidRPr="001133CC">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Местонахождение</w:t>
            </w:r>
          </w:p>
          <w:p w:rsidR="004E10DD" w:rsidRPr="001133CC" w:rsidRDefault="004E10DD" w:rsidP="002C0FEF">
            <w:pPr>
              <w:jc w:val="center"/>
              <w:rPr>
                <w:sz w:val="20"/>
                <w:szCs w:val="20"/>
              </w:rPr>
            </w:pPr>
            <w:r w:rsidRPr="001133CC">
              <w:rPr>
                <w:sz w:val="20"/>
                <w:szCs w:val="20"/>
              </w:rPr>
              <w:t>объекта</w:t>
            </w:r>
          </w:p>
        </w:tc>
        <w:tc>
          <w:tcPr>
            <w:tcW w:w="659"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Общая площадь объекта,</w:t>
            </w:r>
          </w:p>
          <w:p w:rsidR="004E10DD" w:rsidRPr="001133CC" w:rsidRDefault="004E10DD" w:rsidP="002C0FEF">
            <w:pPr>
              <w:jc w:val="center"/>
              <w:rPr>
                <w:sz w:val="20"/>
                <w:szCs w:val="20"/>
              </w:rPr>
            </w:pPr>
            <w:r w:rsidRPr="001133CC">
              <w:rPr>
                <w:sz w:val="20"/>
                <w:szCs w:val="20"/>
              </w:rPr>
              <w:t>кв</w:t>
            </w:r>
            <w:proofErr w:type="gramStart"/>
            <w:r w:rsidRPr="001133CC">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Год</w:t>
            </w:r>
          </w:p>
          <w:p w:rsidR="004E10DD" w:rsidRPr="001133CC" w:rsidRDefault="004E10DD" w:rsidP="002C0FEF">
            <w:pPr>
              <w:jc w:val="center"/>
              <w:rPr>
                <w:sz w:val="20"/>
                <w:szCs w:val="20"/>
              </w:rPr>
            </w:pPr>
            <w:r w:rsidRPr="001133CC">
              <w:rPr>
                <w:sz w:val="20"/>
                <w:szCs w:val="20"/>
              </w:rPr>
              <w:t>ввода</w:t>
            </w:r>
          </w:p>
          <w:p w:rsidR="004E10DD" w:rsidRPr="001133CC" w:rsidRDefault="004E10DD" w:rsidP="002C0FEF">
            <w:pPr>
              <w:jc w:val="center"/>
              <w:rPr>
                <w:sz w:val="20"/>
                <w:szCs w:val="20"/>
              </w:rPr>
            </w:pPr>
            <w:r w:rsidRPr="001133CC">
              <w:rPr>
                <w:sz w:val="20"/>
                <w:szCs w:val="20"/>
              </w:rPr>
              <w:t>дома в эксплуатацию</w:t>
            </w:r>
          </w:p>
        </w:tc>
        <w:tc>
          <w:tcPr>
            <w:tcW w:w="2005"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Описание объекта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4E10DD" w:rsidRPr="001133CC" w:rsidRDefault="004E10DD" w:rsidP="002C0FEF">
            <w:pPr>
              <w:jc w:val="center"/>
              <w:rPr>
                <w:sz w:val="20"/>
                <w:szCs w:val="20"/>
              </w:rPr>
            </w:pPr>
            <w:r w:rsidRPr="001133CC">
              <w:rPr>
                <w:sz w:val="20"/>
                <w:szCs w:val="20"/>
              </w:rPr>
              <w:t>Начальная цена объекта  (цена первоначального предложения), руб. (с учетом НДС)</w:t>
            </w:r>
          </w:p>
        </w:tc>
        <w:tc>
          <w:tcPr>
            <w:tcW w:w="1338"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Величина задатка, руб. (10% от начальной цены)</w:t>
            </w:r>
          </w:p>
        </w:tc>
        <w:tc>
          <w:tcPr>
            <w:tcW w:w="1331"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Минимальная цена объекта (цена отсечения), руб. (с учетом НДС)</w:t>
            </w:r>
          </w:p>
        </w:tc>
        <w:tc>
          <w:tcPr>
            <w:tcW w:w="1300"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sz w:val="20"/>
                <w:szCs w:val="20"/>
              </w:rPr>
            </w:pPr>
            <w:r w:rsidRPr="001133CC">
              <w:rPr>
                <w:sz w:val="20"/>
                <w:szCs w:val="20"/>
              </w:rPr>
              <w:t>Порядок формирования цены (цена последовательно снижается на «шаг понижения»), руб.</w:t>
            </w:r>
          </w:p>
        </w:tc>
        <w:tc>
          <w:tcPr>
            <w:tcW w:w="1285" w:type="dxa"/>
            <w:tcBorders>
              <w:top w:val="single" w:sz="4" w:space="0" w:color="auto"/>
              <w:left w:val="single" w:sz="4" w:space="0" w:color="auto"/>
              <w:bottom w:val="single" w:sz="4" w:space="0" w:color="auto"/>
              <w:right w:val="single" w:sz="4" w:space="0" w:color="auto"/>
            </w:tcBorders>
            <w:vAlign w:val="center"/>
          </w:tcPr>
          <w:p w:rsidR="004E10DD" w:rsidRPr="001133CC" w:rsidRDefault="004E10DD" w:rsidP="002C0FEF">
            <w:pPr>
              <w:jc w:val="center"/>
              <w:rPr>
                <w:color w:val="000000"/>
                <w:sz w:val="20"/>
                <w:szCs w:val="20"/>
              </w:rPr>
            </w:pPr>
            <w:r w:rsidRPr="001133CC">
              <w:rPr>
                <w:color w:val="000000"/>
                <w:sz w:val="20"/>
                <w:szCs w:val="20"/>
              </w:rPr>
              <w:t>Величина повышения цены («шаг аукциона»), руб.</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F26B04" w:rsidP="002C0FEF">
            <w:pPr>
              <w:jc w:val="center"/>
              <w:rPr>
                <w:sz w:val="20"/>
                <w:szCs w:val="20"/>
              </w:rPr>
            </w:pPr>
            <w:r>
              <w:rPr>
                <w:sz w:val="20"/>
                <w:szCs w:val="20"/>
              </w:rPr>
              <w:t>1</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w:t>
            </w:r>
            <w:proofErr w:type="spellStart"/>
            <w:r w:rsidRPr="001133CC">
              <w:rPr>
                <w:sz w:val="20"/>
                <w:szCs w:val="20"/>
              </w:rPr>
              <w:t>Канавинский</w:t>
            </w:r>
            <w:proofErr w:type="spellEnd"/>
            <w:r w:rsidRPr="001133CC">
              <w:rPr>
                <w:sz w:val="20"/>
                <w:szCs w:val="20"/>
              </w:rPr>
              <w:t xml:space="preserve">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п3</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52:18:0030504:771</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9,5</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527 000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52 700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263</w:t>
            </w:r>
            <w:r>
              <w:rPr>
                <w:b/>
                <w:sz w:val="20"/>
                <w:szCs w:val="20"/>
              </w:rPr>
              <w:t xml:space="preserve"> </w:t>
            </w:r>
            <w:r w:rsidRPr="00A77AD2">
              <w:rPr>
                <w:b/>
                <w:sz w:val="20"/>
                <w:szCs w:val="20"/>
              </w:rPr>
              <w:t>500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52 700</w:t>
            </w:r>
          </w:p>
        </w:tc>
        <w:tc>
          <w:tcPr>
            <w:tcW w:w="1417" w:type="dxa"/>
            <w:tcBorders>
              <w:left w:val="single" w:sz="4" w:space="0" w:color="auto"/>
              <w:right w:val="single" w:sz="4" w:space="0" w:color="auto"/>
            </w:tcBorders>
            <w:vAlign w:val="center"/>
          </w:tcPr>
          <w:p w:rsidR="001133CC" w:rsidRDefault="00A77AD2" w:rsidP="001D5B7A">
            <w:pPr>
              <w:jc w:val="center"/>
              <w:rPr>
                <w:b/>
                <w:sz w:val="20"/>
                <w:szCs w:val="20"/>
              </w:rPr>
            </w:pPr>
            <w:r w:rsidRPr="00A77AD2">
              <w:rPr>
                <w:b/>
                <w:sz w:val="20"/>
                <w:szCs w:val="20"/>
              </w:rPr>
              <w:t>527</w:t>
            </w:r>
            <w:r>
              <w:rPr>
                <w:b/>
                <w:sz w:val="20"/>
                <w:szCs w:val="20"/>
              </w:rPr>
              <w:t> </w:t>
            </w:r>
            <w:r w:rsidRPr="00A77AD2">
              <w:rPr>
                <w:b/>
                <w:sz w:val="20"/>
                <w:szCs w:val="20"/>
              </w:rPr>
              <w:t>000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474</w:t>
            </w:r>
            <w:r>
              <w:rPr>
                <w:b/>
                <w:sz w:val="20"/>
                <w:szCs w:val="20"/>
              </w:rPr>
              <w:t> </w:t>
            </w:r>
            <w:r w:rsidRPr="00A77AD2">
              <w:rPr>
                <w:b/>
                <w:sz w:val="20"/>
                <w:szCs w:val="20"/>
              </w:rPr>
              <w:t>300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421</w:t>
            </w:r>
            <w:r>
              <w:rPr>
                <w:b/>
                <w:sz w:val="20"/>
                <w:szCs w:val="20"/>
              </w:rPr>
              <w:t> </w:t>
            </w:r>
            <w:r w:rsidRPr="00A77AD2">
              <w:rPr>
                <w:b/>
                <w:sz w:val="20"/>
                <w:szCs w:val="20"/>
              </w:rPr>
              <w:t>600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368</w:t>
            </w:r>
            <w:r>
              <w:rPr>
                <w:b/>
                <w:sz w:val="20"/>
                <w:szCs w:val="20"/>
              </w:rPr>
              <w:t> </w:t>
            </w:r>
            <w:r w:rsidRPr="00A77AD2">
              <w:rPr>
                <w:b/>
                <w:sz w:val="20"/>
                <w:szCs w:val="20"/>
              </w:rPr>
              <w:t>900</w:t>
            </w:r>
          </w:p>
          <w:p w:rsidR="00A77AD2" w:rsidRDefault="00A77AD2" w:rsidP="001D5B7A">
            <w:pPr>
              <w:jc w:val="center"/>
              <w:rPr>
                <w:b/>
                <w:sz w:val="20"/>
                <w:szCs w:val="20"/>
              </w:rPr>
            </w:pPr>
          </w:p>
          <w:p w:rsidR="00A77AD2" w:rsidRDefault="00A77AD2" w:rsidP="001D5B7A">
            <w:pPr>
              <w:jc w:val="center"/>
              <w:rPr>
                <w:b/>
                <w:sz w:val="20"/>
                <w:szCs w:val="20"/>
              </w:rPr>
            </w:pPr>
            <w:r w:rsidRPr="00A77AD2">
              <w:rPr>
                <w:b/>
                <w:sz w:val="20"/>
                <w:szCs w:val="20"/>
              </w:rPr>
              <w:t>316</w:t>
            </w:r>
            <w:r>
              <w:rPr>
                <w:b/>
                <w:sz w:val="20"/>
                <w:szCs w:val="20"/>
              </w:rPr>
              <w:t> </w:t>
            </w:r>
            <w:r w:rsidRPr="00A77AD2">
              <w:rPr>
                <w:b/>
                <w:sz w:val="20"/>
                <w:szCs w:val="20"/>
              </w:rPr>
              <w:t>200</w:t>
            </w:r>
          </w:p>
          <w:p w:rsidR="00A77AD2" w:rsidRDefault="00A77AD2" w:rsidP="001D5B7A">
            <w:pPr>
              <w:jc w:val="center"/>
              <w:rPr>
                <w:b/>
                <w:sz w:val="20"/>
                <w:szCs w:val="20"/>
              </w:rPr>
            </w:pPr>
          </w:p>
          <w:p w:rsidR="00A77AD2" w:rsidRPr="001133CC" w:rsidRDefault="00A77AD2" w:rsidP="001D5B7A">
            <w:pPr>
              <w:jc w:val="center"/>
              <w:rPr>
                <w:b/>
                <w:sz w:val="20"/>
                <w:szCs w:val="20"/>
              </w:rPr>
            </w:pPr>
            <w:r w:rsidRPr="00A77AD2">
              <w:rPr>
                <w:b/>
                <w:sz w:val="20"/>
                <w:szCs w:val="20"/>
              </w:rPr>
              <w:t>263</w:t>
            </w:r>
            <w:r>
              <w:rPr>
                <w:b/>
                <w:sz w:val="20"/>
                <w:szCs w:val="20"/>
              </w:rPr>
              <w:t xml:space="preserve"> </w:t>
            </w:r>
            <w:r w:rsidRPr="00A77AD2">
              <w:rPr>
                <w:b/>
                <w:sz w:val="20"/>
                <w:szCs w:val="20"/>
              </w:rPr>
              <w:t>500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26 350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F26B04" w:rsidP="002C0FEF">
            <w:pPr>
              <w:jc w:val="center"/>
              <w:rPr>
                <w:sz w:val="20"/>
                <w:szCs w:val="20"/>
              </w:rPr>
            </w:pPr>
            <w:r>
              <w:rPr>
                <w:sz w:val="20"/>
                <w:szCs w:val="20"/>
              </w:rPr>
              <w:t>2</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w:t>
            </w:r>
            <w:proofErr w:type="spellStart"/>
            <w:r w:rsidRPr="001133CC">
              <w:rPr>
                <w:sz w:val="20"/>
                <w:szCs w:val="20"/>
              </w:rPr>
              <w:t>Канавинский</w:t>
            </w:r>
            <w:proofErr w:type="spellEnd"/>
            <w:r w:rsidRPr="001133CC">
              <w:rPr>
                <w:sz w:val="20"/>
                <w:szCs w:val="20"/>
              </w:rPr>
              <w:t xml:space="preserve">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П4</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52:18:0030504:769</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17,5</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970 000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97 000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485</w:t>
            </w:r>
            <w:r>
              <w:rPr>
                <w:b/>
                <w:sz w:val="20"/>
                <w:szCs w:val="20"/>
              </w:rPr>
              <w:t xml:space="preserve"> </w:t>
            </w:r>
            <w:r w:rsidRPr="00A77AD2">
              <w:rPr>
                <w:b/>
                <w:sz w:val="20"/>
                <w:szCs w:val="20"/>
              </w:rPr>
              <w:t>000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97 000</w:t>
            </w:r>
          </w:p>
        </w:tc>
        <w:tc>
          <w:tcPr>
            <w:tcW w:w="1417" w:type="dxa"/>
            <w:tcBorders>
              <w:left w:val="single" w:sz="4" w:space="0" w:color="auto"/>
              <w:right w:val="single" w:sz="4" w:space="0" w:color="auto"/>
            </w:tcBorders>
            <w:vAlign w:val="center"/>
          </w:tcPr>
          <w:p w:rsidR="001133CC" w:rsidRDefault="00A77AD2" w:rsidP="00A96F49">
            <w:pPr>
              <w:jc w:val="center"/>
              <w:rPr>
                <w:b/>
                <w:sz w:val="20"/>
                <w:szCs w:val="20"/>
              </w:rPr>
            </w:pPr>
            <w:r w:rsidRPr="00A77AD2">
              <w:rPr>
                <w:b/>
                <w:sz w:val="20"/>
                <w:szCs w:val="20"/>
              </w:rPr>
              <w:t>970</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873</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776</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679</w:t>
            </w:r>
            <w:r>
              <w:rPr>
                <w:b/>
                <w:sz w:val="20"/>
                <w:szCs w:val="20"/>
              </w:rPr>
              <w:t> </w:t>
            </w:r>
            <w:r w:rsidRPr="00A77AD2">
              <w:rPr>
                <w:b/>
                <w:sz w:val="20"/>
                <w:szCs w:val="20"/>
              </w:rPr>
              <w:t>000</w:t>
            </w:r>
          </w:p>
          <w:p w:rsidR="00A77AD2" w:rsidRDefault="00A77AD2" w:rsidP="00A96F49">
            <w:pPr>
              <w:jc w:val="center"/>
              <w:rPr>
                <w:b/>
                <w:sz w:val="20"/>
                <w:szCs w:val="20"/>
              </w:rPr>
            </w:pPr>
          </w:p>
          <w:p w:rsidR="00A77AD2" w:rsidRDefault="00A77AD2" w:rsidP="00A96F49">
            <w:pPr>
              <w:jc w:val="center"/>
              <w:rPr>
                <w:b/>
                <w:sz w:val="20"/>
                <w:szCs w:val="20"/>
              </w:rPr>
            </w:pPr>
            <w:r w:rsidRPr="00A77AD2">
              <w:rPr>
                <w:b/>
                <w:sz w:val="20"/>
                <w:szCs w:val="20"/>
              </w:rPr>
              <w:t>582</w:t>
            </w:r>
            <w:r>
              <w:rPr>
                <w:b/>
                <w:sz w:val="20"/>
                <w:szCs w:val="20"/>
              </w:rPr>
              <w:t> </w:t>
            </w:r>
            <w:r w:rsidRPr="00A77AD2">
              <w:rPr>
                <w:b/>
                <w:sz w:val="20"/>
                <w:szCs w:val="20"/>
              </w:rPr>
              <w:t>000</w:t>
            </w:r>
          </w:p>
          <w:p w:rsidR="00A77AD2" w:rsidRDefault="00A77AD2" w:rsidP="00A96F49">
            <w:pPr>
              <w:jc w:val="center"/>
              <w:rPr>
                <w:b/>
                <w:sz w:val="20"/>
                <w:szCs w:val="20"/>
              </w:rPr>
            </w:pPr>
          </w:p>
          <w:p w:rsidR="00A77AD2" w:rsidRPr="001133CC" w:rsidRDefault="00A77AD2" w:rsidP="00A96F49">
            <w:pPr>
              <w:jc w:val="center"/>
              <w:rPr>
                <w:b/>
                <w:sz w:val="20"/>
                <w:szCs w:val="20"/>
              </w:rPr>
            </w:pPr>
            <w:r w:rsidRPr="00A77AD2">
              <w:rPr>
                <w:b/>
                <w:sz w:val="20"/>
                <w:szCs w:val="20"/>
              </w:rPr>
              <w:t>485</w:t>
            </w:r>
            <w:r>
              <w:rPr>
                <w:b/>
                <w:sz w:val="20"/>
                <w:szCs w:val="20"/>
              </w:rPr>
              <w:t xml:space="preserve"> </w:t>
            </w:r>
            <w:r w:rsidRPr="00A77AD2">
              <w:rPr>
                <w:b/>
                <w:sz w:val="20"/>
                <w:szCs w:val="20"/>
              </w:rPr>
              <w:t>000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48 500</w:t>
            </w:r>
          </w:p>
        </w:tc>
      </w:tr>
      <w:tr w:rsidR="001133CC" w:rsidRPr="001133CC" w:rsidTr="002C0FEF">
        <w:trPr>
          <w:cantSplit/>
          <w:trHeight w:val="2826"/>
          <w:jc w:val="center"/>
        </w:trPr>
        <w:tc>
          <w:tcPr>
            <w:tcW w:w="490" w:type="dxa"/>
            <w:tcBorders>
              <w:left w:val="single" w:sz="4" w:space="0" w:color="auto"/>
              <w:right w:val="single" w:sz="4" w:space="0" w:color="auto"/>
            </w:tcBorders>
            <w:shd w:val="clear" w:color="auto" w:fill="auto"/>
            <w:vAlign w:val="center"/>
          </w:tcPr>
          <w:p w:rsidR="001133CC" w:rsidRPr="001133CC" w:rsidRDefault="00F26B04" w:rsidP="002C0FEF">
            <w:pPr>
              <w:jc w:val="center"/>
              <w:rPr>
                <w:sz w:val="20"/>
                <w:szCs w:val="20"/>
              </w:rPr>
            </w:pPr>
            <w:r>
              <w:rPr>
                <w:sz w:val="20"/>
                <w:szCs w:val="20"/>
              </w:rPr>
              <w:lastRenderedPageBreak/>
              <w:t>3</w:t>
            </w:r>
          </w:p>
        </w:tc>
        <w:tc>
          <w:tcPr>
            <w:tcW w:w="1404"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встроенное помещение</w:t>
            </w:r>
          </w:p>
          <w:p w:rsidR="001133CC" w:rsidRPr="001133CC" w:rsidRDefault="001133CC" w:rsidP="006C4ACF">
            <w:pPr>
              <w:ind w:left="57" w:right="57"/>
              <w:jc w:val="center"/>
              <w:rPr>
                <w:sz w:val="20"/>
                <w:szCs w:val="20"/>
              </w:rPr>
            </w:pPr>
            <w:r w:rsidRPr="001133CC">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г</w:t>
            </w:r>
            <w:proofErr w:type="gramStart"/>
            <w:r w:rsidRPr="001133CC">
              <w:rPr>
                <w:sz w:val="20"/>
                <w:szCs w:val="20"/>
              </w:rPr>
              <w:t>.Н</w:t>
            </w:r>
            <w:proofErr w:type="gramEnd"/>
            <w:r w:rsidRPr="001133CC">
              <w:rPr>
                <w:sz w:val="20"/>
                <w:szCs w:val="20"/>
              </w:rPr>
              <w:t xml:space="preserve">ижний Новгород, </w:t>
            </w:r>
            <w:proofErr w:type="spellStart"/>
            <w:r w:rsidRPr="001133CC">
              <w:rPr>
                <w:sz w:val="20"/>
                <w:szCs w:val="20"/>
              </w:rPr>
              <w:t>Канавинский</w:t>
            </w:r>
            <w:proofErr w:type="spellEnd"/>
            <w:r w:rsidRPr="001133CC">
              <w:rPr>
                <w:sz w:val="20"/>
                <w:szCs w:val="20"/>
              </w:rPr>
              <w:t xml:space="preserve"> район, </w:t>
            </w:r>
            <w:proofErr w:type="spellStart"/>
            <w:r w:rsidRPr="001133CC">
              <w:rPr>
                <w:sz w:val="20"/>
                <w:szCs w:val="20"/>
              </w:rPr>
              <w:t>ул.Гордеевская</w:t>
            </w:r>
            <w:proofErr w:type="spellEnd"/>
            <w:r w:rsidRPr="001133CC">
              <w:rPr>
                <w:sz w:val="20"/>
                <w:szCs w:val="20"/>
              </w:rPr>
              <w:t xml:space="preserve">, д.59, </w:t>
            </w:r>
            <w:proofErr w:type="spellStart"/>
            <w:r w:rsidRPr="001133CC">
              <w:rPr>
                <w:sz w:val="20"/>
                <w:szCs w:val="20"/>
              </w:rPr>
              <w:t>пом</w:t>
            </w:r>
            <w:proofErr w:type="spellEnd"/>
            <w:r w:rsidRPr="001133CC">
              <w:rPr>
                <w:sz w:val="20"/>
                <w:szCs w:val="20"/>
              </w:rPr>
              <w:t xml:space="preserve"> П7</w:t>
            </w:r>
          </w:p>
        </w:tc>
        <w:tc>
          <w:tcPr>
            <w:tcW w:w="659"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52:18:0030504:293</w:t>
            </w:r>
          </w:p>
        </w:tc>
        <w:tc>
          <w:tcPr>
            <w:tcW w:w="788"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17,1</w:t>
            </w:r>
          </w:p>
        </w:tc>
        <w:tc>
          <w:tcPr>
            <w:tcW w:w="791"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1917</w:t>
            </w:r>
          </w:p>
        </w:tc>
        <w:tc>
          <w:tcPr>
            <w:tcW w:w="2005" w:type="dxa"/>
            <w:tcBorders>
              <w:top w:val="single" w:sz="4" w:space="0" w:color="auto"/>
              <w:left w:val="single" w:sz="4" w:space="0" w:color="auto"/>
              <w:bottom w:val="single" w:sz="4" w:space="0" w:color="auto"/>
              <w:right w:val="single" w:sz="4" w:space="0" w:color="auto"/>
            </w:tcBorders>
            <w:vAlign w:val="center"/>
          </w:tcPr>
          <w:p w:rsidR="001133CC" w:rsidRPr="001133CC" w:rsidRDefault="001133CC" w:rsidP="006C4ACF">
            <w:pPr>
              <w:ind w:left="57" w:right="57"/>
              <w:jc w:val="center"/>
              <w:rPr>
                <w:sz w:val="20"/>
                <w:szCs w:val="20"/>
              </w:rPr>
            </w:pPr>
            <w:r w:rsidRPr="001133CC">
              <w:rPr>
                <w:sz w:val="20"/>
                <w:szCs w:val="20"/>
              </w:rPr>
              <w:t>Нежилое помещение расположено в подвале трехэтажного жилого дома. Вход совместный с другими пользователями нежилых помещений.</w:t>
            </w:r>
          </w:p>
        </w:tc>
        <w:tc>
          <w:tcPr>
            <w:tcW w:w="1476" w:type="dxa"/>
            <w:tcBorders>
              <w:left w:val="single" w:sz="4" w:space="0" w:color="auto"/>
              <w:right w:val="single" w:sz="4" w:space="0" w:color="auto"/>
            </w:tcBorders>
            <w:shd w:val="clear" w:color="auto" w:fill="auto"/>
            <w:vAlign w:val="center"/>
          </w:tcPr>
          <w:p w:rsidR="001133CC" w:rsidRPr="001133CC" w:rsidRDefault="001133CC" w:rsidP="006C4ACF">
            <w:pPr>
              <w:jc w:val="center"/>
              <w:rPr>
                <w:b/>
                <w:sz w:val="20"/>
                <w:szCs w:val="20"/>
              </w:rPr>
            </w:pPr>
            <w:r w:rsidRPr="001133CC">
              <w:rPr>
                <w:b/>
                <w:sz w:val="20"/>
                <w:szCs w:val="20"/>
              </w:rPr>
              <w:t>948 000</w:t>
            </w:r>
          </w:p>
        </w:tc>
        <w:tc>
          <w:tcPr>
            <w:tcW w:w="1338"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94 800</w:t>
            </w:r>
          </w:p>
        </w:tc>
        <w:tc>
          <w:tcPr>
            <w:tcW w:w="1331" w:type="dxa"/>
            <w:tcBorders>
              <w:left w:val="single" w:sz="4" w:space="0" w:color="auto"/>
              <w:right w:val="single" w:sz="4" w:space="0" w:color="auto"/>
            </w:tcBorders>
            <w:vAlign w:val="center"/>
          </w:tcPr>
          <w:p w:rsidR="001133CC" w:rsidRPr="001133CC" w:rsidRDefault="00A77AD2" w:rsidP="00AC4931">
            <w:pPr>
              <w:ind w:left="57" w:right="57"/>
              <w:jc w:val="center"/>
              <w:rPr>
                <w:b/>
                <w:sz w:val="20"/>
                <w:szCs w:val="20"/>
              </w:rPr>
            </w:pPr>
            <w:r w:rsidRPr="00A77AD2">
              <w:rPr>
                <w:b/>
                <w:sz w:val="20"/>
                <w:szCs w:val="20"/>
              </w:rPr>
              <w:t>474</w:t>
            </w:r>
            <w:r>
              <w:rPr>
                <w:b/>
                <w:sz w:val="20"/>
                <w:szCs w:val="20"/>
              </w:rPr>
              <w:t xml:space="preserve"> </w:t>
            </w:r>
            <w:r w:rsidRPr="00A77AD2">
              <w:rPr>
                <w:b/>
                <w:sz w:val="20"/>
                <w:szCs w:val="20"/>
              </w:rPr>
              <w:t>000</w:t>
            </w:r>
          </w:p>
        </w:tc>
        <w:tc>
          <w:tcPr>
            <w:tcW w:w="1300"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94 800</w:t>
            </w:r>
          </w:p>
        </w:tc>
        <w:tc>
          <w:tcPr>
            <w:tcW w:w="1417" w:type="dxa"/>
            <w:tcBorders>
              <w:left w:val="single" w:sz="4" w:space="0" w:color="auto"/>
              <w:right w:val="single" w:sz="4" w:space="0" w:color="auto"/>
            </w:tcBorders>
            <w:vAlign w:val="center"/>
          </w:tcPr>
          <w:p w:rsidR="001133CC" w:rsidRDefault="00A77AD2" w:rsidP="00400318">
            <w:pPr>
              <w:jc w:val="center"/>
              <w:rPr>
                <w:b/>
                <w:sz w:val="20"/>
                <w:szCs w:val="20"/>
              </w:rPr>
            </w:pPr>
            <w:r w:rsidRPr="00A77AD2">
              <w:rPr>
                <w:b/>
                <w:sz w:val="20"/>
                <w:szCs w:val="20"/>
              </w:rPr>
              <w:t>948</w:t>
            </w:r>
            <w:r>
              <w:rPr>
                <w:b/>
                <w:sz w:val="20"/>
                <w:szCs w:val="20"/>
              </w:rPr>
              <w:t> </w:t>
            </w:r>
            <w:r w:rsidRPr="00A77AD2">
              <w:rPr>
                <w:b/>
                <w:sz w:val="20"/>
                <w:szCs w:val="20"/>
              </w:rPr>
              <w:t>000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853</w:t>
            </w:r>
            <w:r>
              <w:rPr>
                <w:b/>
                <w:sz w:val="20"/>
                <w:szCs w:val="20"/>
              </w:rPr>
              <w:t> </w:t>
            </w:r>
            <w:r w:rsidRPr="00A77AD2">
              <w:rPr>
                <w:b/>
                <w:sz w:val="20"/>
                <w:szCs w:val="20"/>
              </w:rPr>
              <w:t>200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758</w:t>
            </w:r>
            <w:r>
              <w:rPr>
                <w:b/>
                <w:sz w:val="20"/>
                <w:szCs w:val="20"/>
              </w:rPr>
              <w:t> </w:t>
            </w:r>
            <w:r w:rsidRPr="00A77AD2">
              <w:rPr>
                <w:b/>
                <w:sz w:val="20"/>
                <w:szCs w:val="20"/>
              </w:rPr>
              <w:t>400</w:t>
            </w:r>
          </w:p>
          <w:p w:rsidR="00A77AD2" w:rsidRDefault="00A77AD2" w:rsidP="00400318">
            <w:pPr>
              <w:jc w:val="center"/>
              <w:rPr>
                <w:b/>
                <w:sz w:val="20"/>
                <w:szCs w:val="20"/>
              </w:rPr>
            </w:pPr>
          </w:p>
          <w:p w:rsidR="00A77AD2" w:rsidRDefault="00A77AD2" w:rsidP="00400318">
            <w:pPr>
              <w:jc w:val="center"/>
              <w:rPr>
                <w:b/>
                <w:sz w:val="20"/>
                <w:szCs w:val="20"/>
              </w:rPr>
            </w:pPr>
            <w:r w:rsidRPr="00A77AD2">
              <w:rPr>
                <w:b/>
                <w:sz w:val="20"/>
                <w:szCs w:val="20"/>
              </w:rPr>
              <w:t>663</w:t>
            </w:r>
            <w:r>
              <w:rPr>
                <w:b/>
                <w:sz w:val="20"/>
                <w:szCs w:val="20"/>
              </w:rPr>
              <w:t> </w:t>
            </w:r>
            <w:r w:rsidRPr="00A77AD2">
              <w:rPr>
                <w:b/>
                <w:sz w:val="20"/>
                <w:szCs w:val="20"/>
              </w:rPr>
              <w:t>600</w:t>
            </w:r>
          </w:p>
          <w:p w:rsidR="00A77AD2" w:rsidRDefault="00A77AD2" w:rsidP="00400318">
            <w:pPr>
              <w:jc w:val="center"/>
              <w:rPr>
                <w:b/>
                <w:sz w:val="20"/>
                <w:szCs w:val="20"/>
              </w:rPr>
            </w:pPr>
          </w:p>
          <w:p w:rsidR="00A77AD2" w:rsidRDefault="00A77AD2" w:rsidP="00A77AD2">
            <w:pPr>
              <w:jc w:val="center"/>
              <w:rPr>
                <w:b/>
                <w:sz w:val="20"/>
                <w:szCs w:val="20"/>
              </w:rPr>
            </w:pPr>
            <w:r w:rsidRPr="00A77AD2">
              <w:rPr>
                <w:b/>
                <w:sz w:val="20"/>
                <w:szCs w:val="20"/>
              </w:rPr>
              <w:t>568</w:t>
            </w:r>
            <w:r>
              <w:rPr>
                <w:b/>
                <w:sz w:val="20"/>
                <w:szCs w:val="20"/>
              </w:rPr>
              <w:t> </w:t>
            </w:r>
            <w:r w:rsidRPr="00A77AD2">
              <w:rPr>
                <w:b/>
                <w:sz w:val="20"/>
                <w:szCs w:val="20"/>
              </w:rPr>
              <w:t>800</w:t>
            </w:r>
          </w:p>
          <w:p w:rsidR="00A77AD2" w:rsidRDefault="00A77AD2" w:rsidP="00A77AD2">
            <w:pPr>
              <w:jc w:val="center"/>
              <w:rPr>
                <w:b/>
                <w:sz w:val="20"/>
                <w:szCs w:val="20"/>
              </w:rPr>
            </w:pPr>
          </w:p>
          <w:p w:rsidR="00A77AD2" w:rsidRPr="001133CC" w:rsidRDefault="00A77AD2" w:rsidP="00A77AD2">
            <w:pPr>
              <w:jc w:val="center"/>
              <w:rPr>
                <w:b/>
                <w:sz w:val="20"/>
                <w:szCs w:val="20"/>
              </w:rPr>
            </w:pPr>
            <w:r w:rsidRPr="00A77AD2">
              <w:rPr>
                <w:b/>
                <w:sz w:val="20"/>
                <w:szCs w:val="20"/>
              </w:rPr>
              <w:t>474</w:t>
            </w:r>
            <w:r>
              <w:rPr>
                <w:b/>
                <w:sz w:val="20"/>
                <w:szCs w:val="20"/>
              </w:rPr>
              <w:t xml:space="preserve"> </w:t>
            </w:r>
            <w:r w:rsidRPr="00A77AD2">
              <w:rPr>
                <w:b/>
                <w:sz w:val="20"/>
                <w:szCs w:val="20"/>
              </w:rPr>
              <w:t>000</w:t>
            </w:r>
          </w:p>
        </w:tc>
        <w:tc>
          <w:tcPr>
            <w:tcW w:w="1285" w:type="dxa"/>
            <w:tcBorders>
              <w:left w:val="single" w:sz="4" w:space="0" w:color="auto"/>
              <w:right w:val="single" w:sz="4" w:space="0" w:color="auto"/>
            </w:tcBorders>
            <w:vAlign w:val="center"/>
          </w:tcPr>
          <w:p w:rsidR="001133CC" w:rsidRPr="001133CC" w:rsidRDefault="001133CC" w:rsidP="006C4ACF">
            <w:pPr>
              <w:jc w:val="center"/>
              <w:rPr>
                <w:b/>
                <w:sz w:val="20"/>
                <w:szCs w:val="20"/>
              </w:rPr>
            </w:pPr>
            <w:r w:rsidRPr="001133CC">
              <w:rPr>
                <w:b/>
                <w:sz w:val="20"/>
                <w:szCs w:val="20"/>
              </w:rPr>
              <w:t>47 400</w:t>
            </w:r>
          </w:p>
        </w:tc>
      </w:tr>
    </w:tbl>
    <w:p w:rsidR="004E10DD" w:rsidRDefault="004E10DD">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t>Примечание:</w:t>
      </w:r>
    </w:p>
    <w:p w:rsidR="007A7205" w:rsidRDefault="007A7205" w:rsidP="00950073">
      <w:pPr>
        <w:jc w:val="both"/>
        <w:rPr>
          <w:color w:val="000000"/>
          <w:sz w:val="26"/>
          <w:szCs w:val="26"/>
          <w:u w:val="single"/>
        </w:rPr>
      </w:pPr>
    </w:p>
    <w:p w:rsidR="001133CC" w:rsidRDefault="001133CC" w:rsidP="001133CC">
      <w:pPr>
        <w:jc w:val="both"/>
        <w:rPr>
          <w:b/>
          <w:sz w:val="26"/>
          <w:szCs w:val="26"/>
        </w:rPr>
      </w:pPr>
      <w:r>
        <w:rPr>
          <w:b/>
          <w:sz w:val="26"/>
          <w:szCs w:val="26"/>
          <w:u w:val="single"/>
        </w:rPr>
        <w:t>По лотам</w:t>
      </w:r>
      <w:r w:rsidRPr="00361B05">
        <w:rPr>
          <w:b/>
          <w:sz w:val="26"/>
          <w:szCs w:val="26"/>
          <w:u w:val="single"/>
        </w:rPr>
        <w:t xml:space="preserve"> №</w:t>
      </w:r>
      <w:r w:rsidR="00F26B04">
        <w:rPr>
          <w:b/>
          <w:sz w:val="26"/>
          <w:szCs w:val="26"/>
          <w:u w:val="single"/>
        </w:rPr>
        <w:t>№ 1-3</w:t>
      </w:r>
      <w:r w:rsidRPr="00361B05">
        <w:rPr>
          <w:b/>
          <w:sz w:val="26"/>
          <w:szCs w:val="26"/>
          <w:u w:val="single"/>
        </w:rPr>
        <w:t>:</w:t>
      </w:r>
      <w:r w:rsidRPr="00435B84">
        <w:rPr>
          <w:b/>
          <w:sz w:val="26"/>
          <w:szCs w:val="26"/>
        </w:rPr>
        <w:t xml:space="preserve"> </w:t>
      </w:r>
      <w:r w:rsidRPr="00602F19">
        <w:rPr>
          <w:b/>
          <w:sz w:val="26"/>
          <w:szCs w:val="26"/>
        </w:rPr>
        <w:t xml:space="preserve">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1133CC" w:rsidRDefault="001133CC" w:rsidP="001133CC">
      <w:pPr>
        <w:tabs>
          <w:tab w:val="num" w:pos="0"/>
        </w:tabs>
        <w:ind w:firstLine="567"/>
        <w:jc w:val="both"/>
        <w:rPr>
          <w:b/>
          <w:sz w:val="26"/>
          <w:szCs w:val="26"/>
          <w:u w:val="single"/>
        </w:rPr>
      </w:pPr>
    </w:p>
    <w:p w:rsidR="001133CC" w:rsidRDefault="001133CC" w:rsidP="001133CC">
      <w:pPr>
        <w:tabs>
          <w:tab w:val="num" w:pos="0"/>
        </w:tabs>
        <w:jc w:val="both"/>
        <w:rPr>
          <w:color w:val="000000"/>
          <w:sz w:val="26"/>
          <w:szCs w:val="26"/>
        </w:rPr>
      </w:pPr>
      <w:r>
        <w:rPr>
          <w:color w:val="000000"/>
          <w:sz w:val="26"/>
          <w:szCs w:val="26"/>
          <w:u w:val="single"/>
        </w:rPr>
        <w:t>По лотам</w:t>
      </w:r>
      <w:r w:rsidRPr="00355DE5">
        <w:rPr>
          <w:color w:val="000000"/>
          <w:sz w:val="26"/>
          <w:szCs w:val="26"/>
          <w:u w:val="single"/>
        </w:rPr>
        <w:t xml:space="preserve"> №</w:t>
      </w:r>
      <w:r>
        <w:rPr>
          <w:color w:val="000000"/>
          <w:sz w:val="26"/>
          <w:szCs w:val="26"/>
          <w:u w:val="single"/>
        </w:rPr>
        <w:t>№ 1-</w:t>
      </w:r>
      <w:r w:rsidR="00F26B04">
        <w:rPr>
          <w:color w:val="000000"/>
          <w:sz w:val="26"/>
          <w:szCs w:val="26"/>
          <w:u w:val="single"/>
        </w:rPr>
        <w:t>3</w:t>
      </w:r>
      <w:r w:rsidRPr="0013139B">
        <w:rPr>
          <w:color w:val="000000"/>
          <w:sz w:val="26"/>
          <w:szCs w:val="26"/>
        </w:rPr>
        <w:t xml:space="preserve"> решение об условиях приватизации принято решением городской Думы города Нижнего Новгорода </w:t>
      </w:r>
      <w:r>
        <w:rPr>
          <w:color w:val="000000"/>
          <w:sz w:val="26"/>
          <w:szCs w:val="26"/>
        </w:rPr>
        <w:t xml:space="preserve">от 24.01.2024 № 10 </w:t>
      </w:r>
      <w:r w:rsidRPr="0013139B">
        <w:rPr>
          <w:color w:val="000000"/>
          <w:sz w:val="26"/>
          <w:szCs w:val="26"/>
        </w:rPr>
        <w:t>и постановлени</w:t>
      </w:r>
      <w:r w:rsidR="006C4ACF">
        <w:rPr>
          <w:color w:val="000000"/>
          <w:sz w:val="26"/>
          <w:szCs w:val="26"/>
        </w:rPr>
        <w:t>ями</w:t>
      </w:r>
      <w:r w:rsidRPr="0013139B">
        <w:rPr>
          <w:color w:val="000000"/>
          <w:sz w:val="26"/>
          <w:szCs w:val="26"/>
        </w:rPr>
        <w:t xml:space="preserve"> администрации города Нижнего Новгорода от</w:t>
      </w:r>
      <w:r w:rsidR="006C4ACF">
        <w:rPr>
          <w:color w:val="000000"/>
          <w:sz w:val="26"/>
          <w:szCs w:val="26"/>
        </w:rPr>
        <w:t xml:space="preserve"> 21.03.2024 № 1863, от 16.12.2024 № 11642.</w:t>
      </w:r>
    </w:p>
    <w:p w:rsidR="001133CC" w:rsidRDefault="001133CC" w:rsidP="001133CC">
      <w:pPr>
        <w:tabs>
          <w:tab w:val="num" w:pos="0"/>
        </w:tabs>
        <w:jc w:val="both"/>
        <w:rPr>
          <w:sz w:val="26"/>
          <w:szCs w:val="26"/>
        </w:rPr>
      </w:pPr>
      <w:r>
        <w:rPr>
          <w:sz w:val="26"/>
          <w:szCs w:val="26"/>
        </w:rPr>
        <w:t>Аукцион</w:t>
      </w:r>
      <w:r w:rsidR="006C4ACF">
        <w:rPr>
          <w:sz w:val="26"/>
          <w:szCs w:val="26"/>
        </w:rPr>
        <w:t xml:space="preserve"> от 25.11.2024 № 5380043</w:t>
      </w:r>
      <w:r w:rsidR="00592428">
        <w:rPr>
          <w:sz w:val="26"/>
          <w:szCs w:val="26"/>
        </w:rPr>
        <w:t xml:space="preserve"> по продаже не состоял</w:t>
      </w:r>
      <w:r>
        <w:rPr>
          <w:sz w:val="26"/>
          <w:szCs w:val="26"/>
        </w:rPr>
        <w:t>с</w:t>
      </w:r>
      <w:r w:rsidR="00592428">
        <w:rPr>
          <w:sz w:val="26"/>
          <w:szCs w:val="26"/>
        </w:rPr>
        <w:t>я</w:t>
      </w:r>
      <w:r>
        <w:rPr>
          <w:sz w:val="26"/>
          <w:szCs w:val="26"/>
        </w:rPr>
        <w:t xml:space="preserve"> в связи с тем, что не было подано ни одной заявки на участие либо ни один из претендентов не признан участником.</w:t>
      </w:r>
    </w:p>
    <w:p w:rsidR="00F26B04" w:rsidRDefault="00F26B04" w:rsidP="00F26B04">
      <w:pPr>
        <w:jc w:val="both"/>
        <w:rPr>
          <w:color w:val="000000"/>
          <w:sz w:val="26"/>
          <w:szCs w:val="26"/>
        </w:rPr>
      </w:pPr>
      <w:r w:rsidRPr="00BB6EC2">
        <w:rPr>
          <w:sz w:val="26"/>
          <w:szCs w:val="26"/>
        </w:rPr>
        <w:t>Продаж</w:t>
      </w:r>
      <w:r>
        <w:rPr>
          <w:sz w:val="26"/>
          <w:szCs w:val="26"/>
        </w:rPr>
        <w:t>а</w:t>
      </w:r>
      <w:r w:rsidRPr="00BB6EC2">
        <w:rPr>
          <w:sz w:val="26"/>
          <w:szCs w:val="26"/>
        </w:rPr>
        <w:t xml:space="preserve"> посредством публичного предложения от </w:t>
      </w:r>
      <w:r>
        <w:rPr>
          <w:sz w:val="26"/>
          <w:szCs w:val="26"/>
        </w:rPr>
        <w:t>29.01.2025 №5397054</w:t>
      </w:r>
      <w:r w:rsidRPr="00BB6EC2">
        <w:rPr>
          <w:sz w:val="26"/>
          <w:szCs w:val="26"/>
        </w:rPr>
        <w:t xml:space="preserve"> </w:t>
      </w:r>
      <w:r>
        <w:rPr>
          <w:sz w:val="26"/>
          <w:szCs w:val="26"/>
        </w:rPr>
        <w:t>не состоялась в связи с тем,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D0257" w:rsidRDefault="005D0257">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964408">
        <w:rPr>
          <w:sz w:val="26"/>
          <w:szCs w:val="26"/>
        </w:rPr>
        <w:t>31.01</w:t>
      </w:r>
      <w:r w:rsidR="00F26B04">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964408">
        <w:rPr>
          <w:sz w:val="26"/>
          <w:szCs w:val="26"/>
        </w:rPr>
        <w:t>26.02</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964408">
        <w:rPr>
          <w:sz w:val="26"/>
          <w:szCs w:val="26"/>
        </w:rPr>
        <w:t>26.02</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964408">
        <w:rPr>
          <w:sz w:val="26"/>
          <w:szCs w:val="26"/>
        </w:rPr>
        <w:t>04.03</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964408">
        <w:rPr>
          <w:b/>
          <w:sz w:val="26"/>
          <w:szCs w:val="26"/>
          <w:u w:val="single"/>
        </w:rPr>
        <w:t>05.03</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w:t>
      </w:r>
      <w:r w:rsidRPr="0026073E">
        <w:rPr>
          <w:sz w:val="26"/>
          <w:szCs w:val="26"/>
          <w:lang w:val="ru-RU"/>
        </w:rPr>
        <w:lastRenderedPageBreak/>
        <w:t>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w:t>
      </w:r>
      <w:proofErr w:type="spellStart"/>
      <w:r w:rsidRPr="0026073E">
        <w:rPr>
          <w:sz w:val="26"/>
          <w:szCs w:val="26"/>
          <w:lang w:val="ru-RU"/>
        </w:rPr>
        <w:t>Канавинский</w:t>
      </w:r>
      <w:proofErr w:type="spellEnd"/>
      <w:r w:rsidRPr="0026073E">
        <w:rPr>
          <w:sz w:val="26"/>
          <w:szCs w:val="26"/>
          <w:lang w:val="ru-RU"/>
        </w:rPr>
        <w:t xml:space="preserve">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lastRenderedPageBreak/>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w:t>
      </w:r>
      <w:r>
        <w:rPr>
          <w:rFonts w:eastAsia="Calibri"/>
          <w:b w:val="0"/>
          <w:bCs/>
          <w:color w:val="000000"/>
          <w:sz w:val="26"/>
          <w:szCs w:val="26"/>
          <w:lang w:val="ru-RU" w:eastAsia="ru-RU"/>
        </w:rPr>
        <w:lastRenderedPageBreak/>
        <w:t xml:space="preserve">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Для юридических лиц</w:t>
      </w:r>
      <w:r>
        <w:rPr>
          <w:rFonts w:eastAsia="Calibri"/>
          <w:bCs/>
          <w:color w:val="000000"/>
          <w:sz w:val="26"/>
          <w:szCs w:val="26"/>
          <w:lang w:val="ru-RU" w:eastAsia="ru-RU"/>
        </w:rPr>
        <w:t>:</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заверенные копии учредительных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b w:val="0"/>
          <w:sz w:val="26"/>
          <w:szCs w:val="26"/>
          <w:lang w:val="ru-RU"/>
        </w:rPr>
        <w:t xml:space="preserve">- выписка из единого государственного реестра юридических лиц, </w:t>
      </w:r>
      <w:proofErr w:type="gramStart"/>
      <w:r>
        <w:rPr>
          <w:b w:val="0"/>
          <w:sz w:val="26"/>
          <w:szCs w:val="26"/>
          <w:lang w:val="ru-RU"/>
        </w:rPr>
        <w:t>выданную</w:t>
      </w:r>
      <w:proofErr w:type="gramEnd"/>
      <w:r>
        <w:rPr>
          <w:b w:val="0"/>
          <w:sz w:val="26"/>
          <w:szCs w:val="26"/>
          <w:lang w:val="ru-RU"/>
        </w:rPr>
        <w:t xml:space="preserve"> не ранее 1 месяца до даты подачи заявки (</w:t>
      </w:r>
      <w:r>
        <w:rPr>
          <w:b w:val="0"/>
          <w:bCs/>
          <w:sz w:val="26"/>
          <w:szCs w:val="26"/>
          <w:lang w:val="ru-RU"/>
        </w:rPr>
        <w:t xml:space="preserve">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1" w:history="1">
        <w:r>
          <w:rPr>
            <w:rFonts w:eastAsia="Calibri"/>
            <w:b w:val="0"/>
            <w:bCs/>
            <w:color w:val="000000"/>
            <w:sz w:val="26"/>
            <w:szCs w:val="26"/>
            <w:lang w:val="ru-RU" w:eastAsia="ru-RU"/>
          </w:rPr>
          <w:t>https://egrul.nalog.ru</w:t>
        </w:r>
      </w:hyperlink>
      <w:r>
        <w:rPr>
          <w:rFonts w:eastAsia="Calibri"/>
          <w:b w:val="0"/>
          <w:bCs/>
          <w:color w:val="000000"/>
          <w:sz w:val="26"/>
          <w:szCs w:val="26"/>
          <w:lang w:val="ru-RU" w:eastAsia="ru-RU"/>
        </w:rPr>
        <w:t xml:space="preserve"> и</w:t>
      </w:r>
      <w:r>
        <w:rPr>
          <w:b w:val="0"/>
          <w:bCs/>
          <w:sz w:val="26"/>
          <w:szCs w:val="26"/>
          <w:lang w:val="ru-RU"/>
        </w:rPr>
        <w:t xml:space="preserve"> подписанная усиленной квалифицированной электронной подписью);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Pr>
          <w:rFonts w:eastAsia="Calibri"/>
          <w:bCs/>
          <w:color w:val="000000"/>
          <w:sz w:val="26"/>
          <w:szCs w:val="26"/>
          <w:u w:val="single"/>
          <w:lang w:val="ru-RU" w:eastAsia="ru-RU"/>
        </w:rPr>
        <w:t>Для физических лиц:</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копию паспорта, удостоверяющего личность (всех его листов).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210"/>
        <w:jc w:val="both"/>
        <w:rPr>
          <w:rFonts w:eastAsia="Calibri"/>
          <w:b/>
          <w:bCs/>
          <w:color w:val="000000"/>
          <w:sz w:val="26"/>
          <w:szCs w:val="26"/>
        </w:rPr>
      </w:pPr>
    </w:p>
    <w:p w:rsidR="00C12C1D" w:rsidRDefault="00C12C1D" w:rsidP="00C12C1D">
      <w:pPr>
        <w:pStyle w:val="210"/>
        <w:jc w:val="both"/>
        <w:rPr>
          <w:rFonts w:eastAsia="Calibri"/>
          <w:bCs/>
          <w:color w:val="000000"/>
          <w:sz w:val="26"/>
          <w:szCs w:val="26"/>
        </w:rPr>
      </w:pPr>
      <w:proofErr w:type="gramStart"/>
      <w:r>
        <w:rPr>
          <w:rFonts w:eastAsia="Calibri"/>
          <w:b/>
          <w:bCs/>
          <w:color w:val="000000"/>
          <w:sz w:val="26"/>
          <w:szCs w:val="26"/>
          <w:u w:val="single"/>
        </w:rPr>
        <w:t>Индивидуальные предприниматели</w:t>
      </w:r>
      <w:r>
        <w:rPr>
          <w:sz w:val="22"/>
          <w:szCs w:val="22"/>
        </w:rPr>
        <w:t xml:space="preserve"> </w:t>
      </w:r>
      <w:r>
        <w:rPr>
          <w:rFonts w:eastAsia="Calibri"/>
          <w:bCs/>
          <w:color w:val="000000"/>
          <w:sz w:val="26"/>
          <w:szCs w:val="26"/>
        </w:rPr>
        <w:t xml:space="preserve">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2" w:history="1">
        <w:r>
          <w:rPr>
            <w:rFonts w:eastAsia="Calibri"/>
            <w:bCs/>
            <w:color w:val="000000"/>
            <w:sz w:val="26"/>
            <w:szCs w:val="26"/>
          </w:rPr>
          <w:t>https://egrul.nalog.ru</w:t>
        </w:r>
      </w:hyperlink>
      <w:r>
        <w:rPr>
          <w:rFonts w:eastAsia="Calibri"/>
          <w:bCs/>
          <w:color w:val="000000"/>
          <w:sz w:val="26"/>
          <w:szCs w:val="26"/>
        </w:rPr>
        <w:t xml:space="preserve"> и подписанная усиленной квалифицированной электронной подписью);</w:t>
      </w:r>
      <w:proofErr w:type="gramEnd"/>
      <w:r>
        <w:rPr>
          <w:rFonts w:eastAsia="Calibri"/>
          <w:bCs/>
          <w:color w:val="000000"/>
          <w:sz w:val="26"/>
          <w:szCs w:val="26"/>
        </w:rPr>
        <w:t xml:space="preserve"> - копию свидетельства о государственной регистрации (при наличии), копию свидетельства о постановке на налоговый учет.</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w:t>
      </w:r>
      <w:r>
        <w:rPr>
          <w:rFonts w:eastAsia="Calibri"/>
          <w:b w:val="0"/>
          <w:bCs/>
          <w:color w:val="000000"/>
          <w:sz w:val="26"/>
          <w:szCs w:val="26"/>
          <w:lang w:val="ru-RU" w:eastAsia="ru-RU"/>
        </w:rPr>
        <w:lastRenderedPageBreak/>
        <w:t>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3"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lastRenderedPageBreak/>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lastRenderedPageBreak/>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proofErr w:type="gramStart"/>
      <w:r>
        <w:rPr>
          <w:b/>
          <w:sz w:val="30"/>
          <w:szCs w:val="30"/>
        </w:rPr>
        <w:t>на участие в продаже посредством публичного предложения в электронной форме с открытой формой подачи предложений о цене</w:t>
      </w:r>
      <w:proofErr w:type="gramEnd"/>
      <w:r>
        <w:rPr>
          <w:b/>
          <w:sz w:val="30"/>
          <w:szCs w:val="30"/>
        </w:rPr>
        <w:t xml:space="preserve">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C12C1D" w:rsidRDefault="00C12C1D" w:rsidP="00C12C1D">
      <w:pPr>
        <w:jc w:val="both"/>
        <w:rPr>
          <w:b/>
          <w:sz w:val="26"/>
          <w:szCs w:val="26"/>
          <w:u w:val="single"/>
        </w:rPr>
      </w:pPr>
      <w:r>
        <w:rPr>
          <w:b/>
          <w:sz w:val="26"/>
          <w:szCs w:val="26"/>
          <w:u w:val="single"/>
        </w:rPr>
        <w:t>Для физических лиц (индивидуальных предпринимателей):</w:t>
      </w:r>
    </w:p>
    <w:p w:rsidR="00C12C1D" w:rsidRDefault="00C12C1D" w:rsidP="00C12C1D">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C12C1D" w:rsidRDefault="00C12C1D" w:rsidP="00C12C1D">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C12C1D" w:rsidRDefault="00C12C1D" w:rsidP="00C12C1D">
      <w:pPr>
        <w:jc w:val="both"/>
        <w:rPr>
          <w:sz w:val="26"/>
          <w:szCs w:val="26"/>
        </w:rPr>
      </w:pPr>
      <w:r>
        <w:rPr>
          <w:sz w:val="26"/>
          <w:szCs w:val="26"/>
        </w:rPr>
        <w:t>Адрес __________________________________________________________________________________________________________________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 адрес электронной почты_____________________________</w:t>
      </w:r>
    </w:p>
    <w:p w:rsidR="00C12C1D" w:rsidRDefault="00C12C1D" w:rsidP="00C12C1D">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lastRenderedPageBreak/>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544291" w:rsidRPr="00544291">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544291">
        <w:rPr>
          <w:spacing w:val="-3"/>
          <w:sz w:val="26"/>
          <w:szCs w:val="26"/>
        </w:rPr>
      </w:r>
      <w:r w:rsidR="00544291">
        <w:rPr>
          <w:spacing w:val="-3"/>
          <w:sz w:val="26"/>
          <w:szCs w:val="26"/>
        </w:rPr>
        <w:fldChar w:fldCharType="separate"/>
      </w:r>
      <w:r w:rsidR="00544291"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w:t>
      </w:r>
      <w:proofErr w:type="gramStart"/>
      <w:r w:rsidRPr="00FE2A2E">
        <w:rPr>
          <w:spacing w:val="-3"/>
          <w:sz w:val="26"/>
          <w:szCs w:val="26"/>
        </w:rPr>
        <w:t>дств в сч</w:t>
      </w:r>
      <w:proofErr w:type="gramEnd"/>
      <w:r w:rsidRPr="00FE2A2E">
        <w:rPr>
          <w:spacing w:val="-3"/>
          <w:sz w:val="26"/>
          <w:szCs w:val="26"/>
        </w:rPr>
        <w:t xml:space="preserve">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4"/>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FB8" w:rsidRDefault="00666FB8">
      <w:r>
        <w:separator/>
      </w:r>
    </w:p>
  </w:endnote>
  <w:endnote w:type="continuationSeparator" w:id="0">
    <w:p w:rsidR="00666FB8" w:rsidRDefault="00666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FB8" w:rsidRDefault="00666FB8">
      <w:r>
        <w:separator/>
      </w:r>
    </w:p>
  </w:footnote>
  <w:footnote w:type="continuationSeparator" w:id="0">
    <w:p w:rsidR="00666FB8" w:rsidRDefault="00666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38" w:rsidRDefault="00544291">
    <w:pPr>
      <w:pStyle w:val="af"/>
      <w:jc w:val="center"/>
    </w:pPr>
    <w:fldSimple w:instr="PAGE   \* MERGEFORMAT">
      <w:r w:rsidR="007B24A1">
        <w:rPr>
          <w:noProof/>
        </w:rPr>
        <w:t>2</w:t>
      </w:r>
    </w:fldSimple>
  </w:p>
  <w:p w:rsidR="00FF7C38" w:rsidRDefault="00FF7C3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75B4C"/>
    <w:rsid w:val="000A7D5B"/>
    <w:rsid w:val="000E0AA4"/>
    <w:rsid w:val="001133CC"/>
    <w:rsid w:val="0012574D"/>
    <w:rsid w:val="00141FF0"/>
    <w:rsid w:val="001453D2"/>
    <w:rsid w:val="00163E8C"/>
    <w:rsid w:val="00166E7F"/>
    <w:rsid w:val="00174FBC"/>
    <w:rsid w:val="0017741B"/>
    <w:rsid w:val="00184223"/>
    <w:rsid w:val="001B1B20"/>
    <w:rsid w:val="001C520D"/>
    <w:rsid w:val="001D095E"/>
    <w:rsid w:val="001D4245"/>
    <w:rsid w:val="001D5B7A"/>
    <w:rsid w:val="002219B9"/>
    <w:rsid w:val="00230079"/>
    <w:rsid w:val="00231F23"/>
    <w:rsid w:val="00242520"/>
    <w:rsid w:val="0026073E"/>
    <w:rsid w:val="0027207A"/>
    <w:rsid w:val="002916E4"/>
    <w:rsid w:val="00295FA7"/>
    <w:rsid w:val="002C0FEF"/>
    <w:rsid w:val="002D1B45"/>
    <w:rsid w:val="002D43C5"/>
    <w:rsid w:val="003019C6"/>
    <w:rsid w:val="00315917"/>
    <w:rsid w:val="003258B7"/>
    <w:rsid w:val="0033410D"/>
    <w:rsid w:val="00362A27"/>
    <w:rsid w:val="003804F9"/>
    <w:rsid w:val="00394674"/>
    <w:rsid w:val="00400318"/>
    <w:rsid w:val="00401415"/>
    <w:rsid w:val="004015E3"/>
    <w:rsid w:val="0044574C"/>
    <w:rsid w:val="00497D4D"/>
    <w:rsid w:val="004B5B81"/>
    <w:rsid w:val="004C540C"/>
    <w:rsid w:val="004D7007"/>
    <w:rsid w:val="004D7EB6"/>
    <w:rsid w:val="004E10DD"/>
    <w:rsid w:val="004E355E"/>
    <w:rsid w:val="00510A63"/>
    <w:rsid w:val="0051118C"/>
    <w:rsid w:val="00526275"/>
    <w:rsid w:val="00526EEB"/>
    <w:rsid w:val="0053155B"/>
    <w:rsid w:val="00533B12"/>
    <w:rsid w:val="00544291"/>
    <w:rsid w:val="00545675"/>
    <w:rsid w:val="005521D4"/>
    <w:rsid w:val="0055455A"/>
    <w:rsid w:val="00592428"/>
    <w:rsid w:val="005C1636"/>
    <w:rsid w:val="005D0257"/>
    <w:rsid w:val="005D3FF8"/>
    <w:rsid w:val="005D4E45"/>
    <w:rsid w:val="005E21CA"/>
    <w:rsid w:val="00626040"/>
    <w:rsid w:val="00646C85"/>
    <w:rsid w:val="00653BF3"/>
    <w:rsid w:val="006619CF"/>
    <w:rsid w:val="00662C40"/>
    <w:rsid w:val="00666FB8"/>
    <w:rsid w:val="006769F9"/>
    <w:rsid w:val="006B047C"/>
    <w:rsid w:val="006B118D"/>
    <w:rsid w:val="006C4ACF"/>
    <w:rsid w:val="006C618C"/>
    <w:rsid w:val="006C7405"/>
    <w:rsid w:val="006E6BEA"/>
    <w:rsid w:val="00732902"/>
    <w:rsid w:val="007663D0"/>
    <w:rsid w:val="0076643E"/>
    <w:rsid w:val="00775862"/>
    <w:rsid w:val="00795CE9"/>
    <w:rsid w:val="007A7205"/>
    <w:rsid w:val="007B24A1"/>
    <w:rsid w:val="00812261"/>
    <w:rsid w:val="00820469"/>
    <w:rsid w:val="008335E9"/>
    <w:rsid w:val="00844924"/>
    <w:rsid w:val="008E6809"/>
    <w:rsid w:val="009009F6"/>
    <w:rsid w:val="009122E3"/>
    <w:rsid w:val="009242AE"/>
    <w:rsid w:val="00941ADB"/>
    <w:rsid w:val="00947747"/>
    <w:rsid w:val="00950073"/>
    <w:rsid w:val="00950AE6"/>
    <w:rsid w:val="00964408"/>
    <w:rsid w:val="00976DC9"/>
    <w:rsid w:val="00991931"/>
    <w:rsid w:val="009C3C50"/>
    <w:rsid w:val="009E7F1B"/>
    <w:rsid w:val="00A06367"/>
    <w:rsid w:val="00A20735"/>
    <w:rsid w:val="00A5221B"/>
    <w:rsid w:val="00A7106B"/>
    <w:rsid w:val="00A77AD2"/>
    <w:rsid w:val="00A92C8D"/>
    <w:rsid w:val="00A93DF5"/>
    <w:rsid w:val="00A96F49"/>
    <w:rsid w:val="00AB5678"/>
    <w:rsid w:val="00AC4931"/>
    <w:rsid w:val="00AD1923"/>
    <w:rsid w:val="00AD5795"/>
    <w:rsid w:val="00AF3312"/>
    <w:rsid w:val="00AF6A8F"/>
    <w:rsid w:val="00AF7028"/>
    <w:rsid w:val="00B0573E"/>
    <w:rsid w:val="00B13779"/>
    <w:rsid w:val="00B83B0C"/>
    <w:rsid w:val="00BF603E"/>
    <w:rsid w:val="00C12C1D"/>
    <w:rsid w:val="00C169FB"/>
    <w:rsid w:val="00C22EDB"/>
    <w:rsid w:val="00C527FE"/>
    <w:rsid w:val="00CC14E7"/>
    <w:rsid w:val="00D0028C"/>
    <w:rsid w:val="00D142C2"/>
    <w:rsid w:val="00DA02A9"/>
    <w:rsid w:val="00DB748F"/>
    <w:rsid w:val="00DC3849"/>
    <w:rsid w:val="00DD44BE"/>
    <w:rsid w:val="00DE2157"/>
    <w:rsid w:val="00DE7A8A"/>
    <w:rsid w:val="00DF47A0"/>
    <w:rsid w:val="00E1102F"/>
    <w:rsid w:val="00E37D3B"/>
    <w:rsid w:val="00E60D81"/>
    <w:rsid w:val="00E64183"/>
    <w:rsid w:val="00E72ECB"/>
    <w:rsid w:val="00E866EC"/>
    <w:rsid w:val="00E967CF"/>
    <w:rsid w:val="00EA165F"/>
    <w:rsid w:val="00EA3D71"/>
    <w:rsid w:val="00EB2C49"/>
    <w:rsid w:val="00F05611"/>
    <w:rsid w:val="00F26B04"/>
    <w:rsid w:val="00F37BEE"/>
    <w:rsid w:val="00F837BC"/>
    <w:rsid w:val="00F846EB"/>
    <w:rsid w:val="00F875F0"/>
    <w:rsid w:val="00FB4F2D"/>
    <w:rsid w:val="00FF14E9"/>
    <w:rsid w:val="00FF6079"/>
    <w:rsid w:val="00FF7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ul.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A6902-00F8-419E-9B59-F1B5ABB5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7121</Words>
  <Characters>40592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47618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s.timicheva</cp:lastModifiedBy>
  <cp:revision>3</cp:revision>
  <cp:lastPrinted>2025-01-30T06:48:00Z</cp:lastPrinted>
  <dcterms:created xsi:type="dcterms:W3CDTF">2025-01-31T06:42:00Z</dcterms:created>
  <dcterms:modified xsi:type="dcterms:W3CDTF">2025-02-03T07:04:00Z</dcterms:modified>
</cp:coreProperties>
</file>