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4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16"/>
          <w:szCs w:val="16"/>
        </w:rPr>
      </w:pPr>
      <w:r>
        <w:rPr>
          <w:bCs/>
          <w:spacing w:val="-3"/>
          <w:sz w:val="16"/>
          <w:szCs w:val="16"/>
        </w:rPr>
      </w:r>
      <w:r>
        <w:rPr>
          <w:bCs/>
          <w:spacing w:val="-3"/>
          <w:sz w:val="16"/>
          <w:szCs w:val="16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0010328:253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Нижний Новгород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город Нижний Новгород, улица Заболотная, между земельными участками с кадастровыми номерами 52:18:0010328:13 и 52:18:0010328:14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413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приаэродромной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аэродрома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экспериментальной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Нижний Новгород (Сормово)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3, внешняя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горизонтальная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поверхность) </w:t>
      </w:r>
      <w:r>
        <w:rPr>
          <w:rFonts w:ascii="Times New Roman" w:hAnsi="Times New Roman"/>
          <w:sz w:val="28"/>
          <w:szCs w:val="28"/>
        </w:rPr>
        <w:t xml:space="preserve">(полностью);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аэродрома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экспериментальной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Нижний Новгород (Сормово)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4, сектор 16)</w:t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аэродрома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экспериментальной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Нижний Новгород (Сормово)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5) </w:t>
      </w:r>
      <w:r>
        <w:rPr>
          <w:rFonts w:ascii="Times New Roman" w:hAnsi="Times New Roman"/>
          <w:sz w:val="28"/>
          <w:szCs w:val="28"/>
        </w:rPr>
        <w:t xml:space="preserve">(полностью);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аэродрома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экспериментальной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Нижний Новгород (Сормово) (подзона 6) </w:t>
      </w:r>
      <w:r>
        <w:rPr>
          <w:rFonts w:ascii="Times New Roman" w:hAnsi="Times New Roman"/>
          <w:sz w:val="28"/>
          <w:szCs w:val="28"/>
        </w:rPr>
        <w:t xml:space="preserve">(подзона 6, </w:t>
      </w:r>
      <w:r>
        <w:rPr>
          <w:rFonts w:ascii="Times New Roman" w:hAnsi="Times New Roman"/>
          <w:sz w:val="28"/>
          <w:szCs w:val="28"/>
        </w:rPr>
        <w:t xml:space="preserve">зона ограничений 10 км)</w:t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он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санитарной охраны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поверхностного источника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хозяйственно-питьевого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водоснабжения (р. Волга) (2, 3 пояс) для водозабора АО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«НЗ 70-летия Победы» (реестровые номера: 52:00-6.1160, 52:00-6.1162)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(полностью);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зоны</w:t>
      </w:r>
      <w:r>
        <w:rPr>
          <w:sz w:val="28"/>
          <w:szCs w:val="28"/>
        </w:rPr>
        <w:t xml:space="preserve"> санитарной охраны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водозаборов (3 пояс),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(подающих воду 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поверхностного источника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питьевого и хозяйственно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бытового водоснабжения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Чебоксарское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водохранилище: 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Волга)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(полностью);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зоны</w:t>
      </w:r>
      <w:r>
        <w:rPr>
          <w:rFonts w:ascii="Times New Roman" w:hAnsi="Times New Roman"/>
          <w:sz w:val="28"/>
          <w:szCs w:val="28"/>
        </w:rPr>
        <w:t xml:space="preserve"> санитарной охраны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источника питьевого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хозяйственно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бытового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водоснабжения (р.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Волга)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водопроводной станции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ПАО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Красное Сормово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(третий пояс)</w:t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зоны</w:t>
      </w:r>
      <w:r>
        <w:rPr>
          <w:rFonts w:ascii="Times New Roman" w:hAnsi="Times New Roman"/>
          <w:sz w:val="28"/>
          <w:szCs w:val="28"/>
        </w:rPr>
        <w:t xml:space="preserve"> санитарной охраны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(третий пояс)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водопроводной станции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Ново-Сормовская АО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Нижегородский водоканал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расположенной на реке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Волге в Нижегородской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области, городском округе</w:t>
      </w:r>
      <w:r>
        <w:rPr>
          <w:rFonts w:ascii="Times New Roman" w:hAnsi="Times New Roman"/>
          <w:sz w:val="28"/>
          <w:szCs w:val="28"/>
        </w:rPr>
        <w:t xml:space="preserve"> город Нижний Новгород </w:t>
      </w:r>
      <w:r>
        <w:rPr>
          <w:rFonts w:ascii="Times New Roman" w:hAnsi="Times New Roman"/>
          <w:sz w:val="28"/>
          <w:szCs w:val="28"/>
        </w:rPr>
        <w:t xml:space="preserve">(реестровый номер: 52:18-6.1737) </w:t>
      </w:r>
      <w:r>
        <w:rPr>
          <w:rFonts w:ascii="Times New Roman" w:hAnsi="Times New Roman"/>
          <w:sz w:val="28"/>
          <w:szCs w:val="28"/>
        </w:rPr>
        <w:t xml:space="preserve">(полностью);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он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умеренного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подтопления, установленн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в отношении территорий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 городского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прилегающих к 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(Чебоксарское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водохранилище),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затапливаемых 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половодьях и паводках 1%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обеспеченности с учетом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фактически затапливаемых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территорий за предыдущие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 лет наблюдений </w:t>
      </w:r>
      <w:r>
        <w:rPr>
          <w:sz w:val="28"/>
          <w:szCs w:val="28"/>
        </w:rPr>
        <w:t xml:space="preserve">(реестровый номер: </w:t>
      </w:r>
      <w:r>
        <w:rPr>
          <w:sz w:val="28"/>
          <w:szCs w:val="28"/>
        </w:rPr>
        <w:t xml:space="preserve">52:18-6.4775) </w:t>
      </w:r>
      <w:r>
        <w:rPr>
          <w:rFonts w:ascii="Times New Roman" w:hAnsi="Times New Roman"/>
          <w:sz w:val="28"/>
          <w:szCs w:val="28"/>
        </w:rPr>
        <w:t xml:space="preserve">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хранн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газораспределительных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сетей (газопровод)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охранной</w:t>
      </w:r>
      <w:r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электросетевого хозяйства: вдоль воздушных линий</w:t>
      </w:r>
      <w:r>
        <w:rPr>
          <w:sz w:val="28"/>
          <w:szCs w:val="28"/>
        </w:rPr>
        <w:t xml:space="preserve"> электропередачи </w:t>
      </w:r>
      <w:r>
        <w:rPr>
          <w:sz w:val="28"/>
          <w:szCs w:val="28"/>
        </w:rPr>
        <w:t xml:space="preserve">ВЛ до 1 кВ</w:t>
      </w:r>
      <w:r>
        <w:rPr>
          <w:sz w:val="28"/>
          <w:szCs w:val="28"/>
        </w:rPr>
        <w:t xml:space="preserve"> (частично).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2" w:name="sub_122"/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36611406012041000430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город Нижний Новгород, улица Заболотная, между земельными участками с кадастровыми номерами 52:18:0010328:13 и 52:18:0010328:14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left="3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340" w:hanging="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Особые условия</w:t>
      </w:r>
      <w:r>
        <w:rPr>
          <w:sz w:val="28"/>
          <w:szCs w:val="28"/>
        </w:rPr>
      </w:r>
    </w:p>
    <w:p>
      <w:pPr>
        <w:pStyle w:val="643"/>
        <w:ind w:left="340"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 использовании земельного участка соблюдать ограничения по обеспечению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хранн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газораспределительных сетей (газопровод)</w:t>
      </w:r>
      <w:r>
        <w:rPr>
          <w:sz w:val="28"/>
          <w:szCs w:val="28"/>
        </w:rPr>
        <w:t xml:space="preserve">, установленные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20.11.2000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878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Правил охраны газораспределительных сетей»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 использовании земельного участка соблюдать ограничения по обеспечению о</w:t>
      </w:r>
      <w:r>
        <w:rPr>
          <w:sz w:val="28"/>
          <w:szCs w:val="28"/>
        </w:rPr>
        <w:t xml:space="preserve">хранн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электросетевого хозяйства: вдоль воздушных линий</w:t>
      </w:r>
      <w:r>
        <w:rPr>
          <w:sz w:val="28"/>
          <w:szCs w:val="28"/>
        </w:rPr>
        <w:t xml:space="preserve"> электропередачи </w:t>
      </w:r>
      <w:r>
        <w:rPr>
          <w:sz w:val="28"/>
          <w:szCs w:val="28"/>
        </w:rPr>
        <w:t xml:space="preserve">ВЛ до 1 кВ</w:t>
      </w:r>
      <w:r>
        <w:rPr>
          <w:sz w:val="28"/>
          <w:szCs w:val="28"/>
        </w:rPr>
        <w:t xml:space="preserve">, установленные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от 24.02.2009</w:t>
      </w:r>
      <w:r>
        <w:rPr>
          <w:sz w:val="28"/>
          <w:szCs w:val="28"/>
        </w:rPr>
        <w:t xml:space="preserve"> № 160 «</w:t>
      </w:r>
      <w:r>
        <w:rPr>
          <w:sz w:val="28"/>
          <w:szCs w:val="28"/>
        </w:rPr>
        <w:t xml:space="preserve">О порядке установления охранных зон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электросетевого хозяйства и особых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использования земельных участков,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в границах таких зон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изменениями)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left="340"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8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3"/>
        <w:ind w:left="-23"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18:0010328:253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город Нижний Новгород, улица Заболотная, между земельными участками с кадастровыми номерами 52:18:0010328:13 и 52:18:0010328:14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413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</w:t>
      </w:r>
      <w:r>
        <w:rPr>
          <w:rFonts w:ascii="Times New Roman" w:hAnsi="Times New Roman"/>
          <w:sz w:val="28"/>
          <w:szCs w:val="28"/>
        </w:rPr>
        <w:t xml:space="preserve">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851" w:right="851" w:bottom="851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2055" w:default="1">
    <w:name w:val="Default Paragraph Font"/>
    <w:uiPriority w:val="1"/>
    <w:semiHidden/>
    <w:unhideWhenUsed/>
  </w:style>
  <w:style w:type="numbering" w:styleId="2056" w:default="1">
    <w:name w:val="No List"/>
    <w:uiPriority w:val="99"/>
    <w:semiHidden/>
    <w:unhideWhenUsed/>
  </w:style>
  <w:style w:type="table" w:styleId="20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148</cp:revision>
  <dcterms:created xsi:type="dcterms:W3CDTF">2017-11-02T13:06:00Z</dcterms:created>
  <dcterms:modified xsi:type="dcterms:W3CDTF">2025-07-17T14:01:14Z</dcterms:modified>
  <cp:version>786432</cp:version>
</cp:coreProperties>
</file>