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33/2025 о проведении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29 октября 2025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 Нижний Новгород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</w:t>
      </w:r>
      <w:r>
        <w:rPr>
          <w:color w:val="000000"/>
          <w:sz w:val="26"/>
          <w:szCs w:val="26"/>
        </w:rPr>
        <w:t xml:space="preserve">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435-69-23,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 xml:space="preserve">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</w:t>
      </w:r>
      <w:r>
        <w:rPr>
          <w:color w:val="000000"/>
          <w:sz w:val="26"/>
          <w:szCs w:val="26"/>
        </w:rPr>
        <w:t xml:space="preserve">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</w:t>
      </w:r>
      <w:r>
        <w:rPr>
          <w:color w:val="000000"/>
          <w:sz w:val="26"/>
          <w:szCs w:val="26"/>
        </w:rPr>
        <w:t xml:space="preserve">осударственного или муниципального имущества в электронной форме», Решения городской</w:t>
      </w:r>
      <w:r>
        <w:rPr>
          <w:color w:val="000000"/>
          <w:sz w:val="26"/>
          <w:szCs w:val="26"/>
        </w:rPr>
        <w:t xml:space="preserve"> Думы города Нижнего Новгорода от 13.12.2023 № 276 «О Прогнозном плане (программе) приватизации муниципального имущества, находящегося в собственности муниципального образо</w:t>
      </w:r>
      <w:r>
        <w:rPr>
          <w:color w:val="000000"/>
          <w:sz w:val="26"/>
          <w:szCs w:val="26"/>
        </w:rPr>
        <w:t xml:space="preserve">вания городской округ город Нижний Новгород, на 2024-2026 годы».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</w:t>
      </w:r>
      <w:r>
        <w:rPr>
          <w:b/>
          <w:bCs/>
          <w:color w:val="000000"/>
          <w:sz w:val="26"/>
          <w:szCs w:val="26"/>
        </w:rPr>
        <w:t xml:space="preserve">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502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410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4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  <w:sz w:val="22"/>
                <w:szCs w:val="22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  <w:sz w:val="22"/>
                <w:szCs w:val="22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  <w:sz w:val="22"/>
                <w:szCs w:val="22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396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4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Подвал № подвал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Нижегородский, ул Академика И.Н.Блохиной, д 5, пом </w:t>
            </w:r>
            <w:r>
              <w:rPr>
                <w:sz w:val="22"/>
                <w:szCs w:val="22"/>
              </w:rPr>
              <w:t xml:space="preserve">П2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52:18:0060073:262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совместный через подъезд №2.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2 945 789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294 578,9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147 289,45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59" w:hRule="exact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обл, г Нижний Новгород, Ленинский р-н, ул Космонавта Комарова, дом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52:18:0050240:42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</w:t>
            </w:r>
            <w:r>
              <w:rPr>
                <w:sz w:val="22"/>
                <w:szCs w:val="22"/>
              </w:rPr>
              <w:t xml:space="preserve">в подвале четырехэтажного жилого дома. Вход отдельный.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3 822 325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382 232,5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191 116,25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407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обл, г Нижний Новгород, Ленинский р-н, ул Космонавта Комарова, дом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52:18:0050240:41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</w:t>
            </w:r>
            <w:r>
              <w:rPr>
                <w:sz w:val="22"/>
                <w:szCs w:val="22"/>
              </w:rPr>
              <w:t xml:space="preserve">четырехэтажного </w:t>
            </w:r>
            <w:r>
              <w:rPr>
                <w:sz w:val="22"/>
                <w:szCs w:val="22"/>
              </w:rPr>
              <w:t xml:space="preserve"> жилого дома. </w:t>
            </w:r>
            <w:r>
              <w:rPr>
                <w:sz w:val="22"/>
                <w:szCs w:val="22"/>
              </w:rPr>
              <w:t xml:space="preserve">Вход совместный.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3 463 305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346 330,5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173 165,25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область, г Нижний Новгород, р-н Канавинский, ул Совнаркомовская, д 40, пом П1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52:18:0030038:119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</w:t>
            </w:r>
            <w:r>
              <w:rPr>
                <w:sz w:val="22"/>
                <w:szCs w:val="22"/>
              </w:rPr>
              <w:t xml:space="preserve">Вход отдельный.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3 519 372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351 937,2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175 968,6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ул Космонавта Комарова, д 7, пом ВП2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52:18:0050250:208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</w:t>
            </w:r>
            <w:r>
              <w:rPr>
                <w:sz w:val="22"/>
                <w:szCs w:val="22"/>
              </w:rPr>
              <w:t xml:space="preserve">Вход отдельный.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2 810 260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281 026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140 513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382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обл, г Нижний Новгород, р-н Ленинский, пр-кт Ленина, д 58А, пом ВП1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52:18:0050248:503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</w:t>
            </w:r>
            <w:r>
              <w:rPr>
                <w:sz w:val="22"/>
                <w:szCs w:val="22"/>
              </w:rPr>
              <w:t xml:space="preserve">Вход отдельный.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5 156 375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515 637,5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257 818,75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559" w:hRule="exact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пр-кт Ленина, д 72, пом ВП13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52:18:0050302:516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</w:t>
            </w:r>
            <w:r>
              <w:rPr>
                <w:sz w:val="22"/>
                <w:szCs w:val="22"/>
              </w:rPr>
              <w:t xml:space="preserve">Вход совместный через подъезд №4.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1 511 334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151 133,4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75 566,7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6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пр-кт Ленина, д 78, пом ВП4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52:18:0050302:120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</w:t>
            </w:r>
            <w:r>
              <w:rPr>
                <w:sz w:val="22"/>
                <w:szCs w:val="22"/>
              </w:rPr>
              <w:t xml:space="preserve">Вход совместный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другими пользователями.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1 699 155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169 915,5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84 957,75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559" w:hRule="exact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(Этаж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ул Каширская, д 71, пом ВП2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52:18:0050246:226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</w:t>
            </w:r>
            <w:r>
              <w:rPr>
                <w:sz w:val="22"/>
                <w:szCs w:val="22"/>
              </w:rPr>
              <w:t xml:space="preserve"> на первом этаже тринадцати</w:t>
            </w:r>
            <w:r>
              <w:rPr>
                <w:sz w:val="22"/>
                <w:szCs w:val="22"/>
              </w:rPr>
              <w:t xml:space="preserve">этажного жилого дома. </w:t>
            </w:r>
            <w:r>
              <w:rPr>
                <w:sz w:val="22"/>
                <w:szCs w:val="22"/>
              </w:rPr>
              <w:t xml:space="preserve">Вход совместный через подъезд.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1 364 139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136 413,9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68 206,95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</w:t>
      </w:r>
      <w:r>
        <w:rPr>
          <w:b/>
          <w:sz w:val="26"/>
          <w:szCs w:val="26"/>
        </w:rPr>
        <w:t xml:space="preserve">чание: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1-8</w:t>
      </w:r>
      <w:r>
        <w:rPr>
          <w:b/>
          <w:sz w:val="26"/>
          <w:szCs w:val="26"/>
        </w:rPr>
        <w:t xml:space="preserve">: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</w:t>
      </w:r>
      <w:r>
        <w:rPr>
          <w:b/>
          <w:sz w:val="26"/>
          <w:szCs w:val="26"/>
        </w:rPr>
        <w:t xml:space="preserve">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0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№№1-9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25.06.2025 № 138 и постановлением администрации города Нижнего Новгорода </w:t>
      </w:r>
      <w:r>
        <w:rPr>
          <w:color w:val="000000"/>
          <w:sz w:val="26"/>
          <w:szCs w:val="26"/>
        </w:rPr>
        <w:t xml:space="preserve">от 21.07.2025 № 8698.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b/>
          <w:sz w:val="22"/>
          <w:szCs w:val="26"/>
        </w:rPr>
      </w:pPr>
      <w:r>
        <w:rPr>
          <w:rFonts w:eastAsia="Calibri"/>
          <w:b/>
          <w:sz w:val="22"/>
          <w:szCs w:val="26"/>
        </w:rPr>
      </w:r>
      <w:r>
        <w:rPr>
          <w:rFonts w:eastAsia="Calibri"/>
          <w:b/>
          <w:sz w:val="22"/>
          <w:szCs w:val="26"/>
        </w:rPr>
      </w:r>
      <w:r>
        <w:rPr>
          <w:rFonts w:eastAsia="Calibri"/>
          <w:b/>
          <w:sz w:val="22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26.09.2025 в 15:00.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22.10.2025 в 15:00.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22.10.2025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28.10.2025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29.10.2025 в 09:30.</w:t>
      </w:r>
      <w:r>
        <w:rPr>
          <w:rFonts w:eastAsia="Calibri"/>
          <w:b/>
          <w:sz w:val="30"/>
          <w:szCs w:val="30"/>
          <w:u w:val="single"/>
        </w:rPr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</w:t>
      </w:r>
      <w:r>
        <w:rPr>
          <w:b/>
          <w:sz w:val="26"/>
          <w:szCs w:val="26"/>
        </w:rPr>
        <w:t xml:space="preserve">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</w:t>
      </w:r>
      <w:r>
        <w:rPr>
          <w:b/>
          <w:sz w:val="26"/>
          <w:szCs w:val="26"/>
        </w:rPr>
        <w:t xml:space="preserve">авинский район, Московский район: 222-22-65.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>
        <w:rPr>
          <w:sz w:val="26"/>
          <w:szCs w:val="26"/>
          <w:lang w:val="ru-RU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</w:t>
      </w:r>
      <w:r>
        <w:rPr>
          <w:rFonts w:eastAsia="Calibri"/>
          <w:color w:val="000000"/>
          <w:sz w:val="26"/>
          <w:szCs w:val="26"/>
        </w:rPr>
        <w:t xml:space="preserve">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</w:t>
      </w:r>
      <w:r>
        <w:rPr>
          <w:b w:val="0"/>
          <w:color w:val="000000"/>
        </w:rPr>
        <w:t xml:space="preserve">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</w:t>
      </w:r>
      <w:r>
        <w:rPr>
          <w:rFonts w:eastAsia="Calibri"/>
          <w:color w:val="000000"/>
          <w:sz w:val="26"/>
          <w:szCs w:val="26"/>
        </w:rPr>
        <w:t xml:space="preserve">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</w:t>
      </w:r>
      <w:r>
        <w:rPr>
          <w:b w:val="0"/>
          <w:color w:val="000000"/>
        </w:rPr>
        <w:t xml:space="preserve">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</w:t>
      </w:r>
      <w:r>
        <w:rPr>
          <w:b w:val="0"/>
          <w:color w:val="000000"/>
        </w:rPr>
        <w:t xml:space="preserve">ажи имущества.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 xml:space="preserve">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</w:t>
      </w:r>
      <w:r>
        <w:rPr>
          <w:b/>
          <w:color w:val="000000"/>
          <w:sz w:val="28"/>
          <w:szCs w:val="26"/>
        </w:rPr>
        <w:t xml:space="preserve">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аукциона, засчит</w:t>
      </w:r>
      <w:r>
        <w:rPr>
          <w:rFonts w:eastAsia="Calibri"/>
          <w:color w:val="000000"/>
          <w:sz w:val="26"/>
          <w:szCs w:val="26"/>
        </w:rPr>
        <w:t xml:space="preserve">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</w:t>
      </w:r>
      <w:r>
        <w:rPr>
          <w:rFonts w:eastAsia="Calibri"/>
          <w:color w:val="000000"/>
          <w:sz w:val="26"/>
          <w:szCs w:val="26"/>
        </w:rPr>
        <w:t xml:space="preserve">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</w:t>
      </w:r>
      <w:r>
        <w:rPr>
          <w:b/>
          <w:sz w:val="26"/>
          <w:szCs w:val="26"/>
        </w:rPr>
        <w:t xml:space="preserve">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</w:t>
      </w:r>
      <w:r>
        <w:rPr>
          <w:b/>
          <w:sz w:val="26"/>
          <w:szCs w:val="26"/>
        </w:rPr>
        <w:t xml:space="preserve">нк: Волго-Вятское ГУ Банка России//УФК по Нижегородской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Код бюджетной классификации: 36611413040041000410.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</w:t>
      </w:r>
      <w:r>
        <w:rPr>
          <w:sz w:val="26"/>
          <w:szCs w:val="26"/>
          <w:u w:val="single"/>
        </w:rPr>
        <w:t xml:space="preserve">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</w:t>
      </w:r>
      <w:r>
        <w:rPr>
          <w:b/>
          <w:sz w:val="26"/>
          <w:szCs w:val="26"/>
        </w:rPr>
        <w:t xml:space="preserve">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казначейский счет: 03232643227010003200, единый казна</w:t>
      </w:r>
      <w:r>
        <w:rPr>
          <w:b/>
          <w:sz w:val="26"/>
          <w:szCs w:val="26"/>
        </w:rPr>
        <w:t xml:space="preserve">чейский счет: 40102810745370000024.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 № _____».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</w:t>
      </w:r>
      <w:r>
        <w:rPr>
          <w:rFonts w:eastAsia="Calibri"/>
          <w:color w:val="000000"/>
          <w:sz w:val="26"/>
          <w:szCs w:val="26"/>
        </w:rPr>
        <w:t xml:space="preserve">ми агентами по уплате НДС в соответствии со ст.161 НК РФ и оплачивают НДС по месту своей постановки на налоговый учет.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</w:t>
      </w:r>
      <w:r>
        <w:rPr>
          <w:rFonts w:eastAsia="Calibri"/>
          <w:b/>
          <w:color w:val="000000"/>
          <w:sz w:val="26"/>
          <w:szCs w:val="26"/>
        </w:rPr>
        <w:t xml:space="preserve">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юридическог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осуществление действий от имени претендента, оформленная в установленном порядке, или нотариа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</w:t>
      </w:r>
      <w:r>
        <w:rPr>
          <w:sz w:val="26"/>
          <w:szCs w:val="26"/>
        </w:rPr>
        <w:t xml:space="preserve">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 муниципальных унит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аукциона" цене имущества продлевается на 10 (десять) минут со времени представления каждого следующего предложения. Если в течение 1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поступило ни одного предложения о начальной цене имущест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  <w:br w:type="page" w:clear="all"/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Приложение №1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0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(заполненный файл с заявкой загружается на электронную площадку)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jc w:val="both"/>
      </w:pPr>
      <w:r>
        <w:t xml:space="preserve">Продавец: Комитет по управлению</w:t>
      </w:r>
      <w:r/>
    </w:p>
    <w:p>
      <w:pPr>
        <w:jc w:val="both"/>
      </w:pPr>
      <w:r>
        <w:t xml:space="preserve">городским имуществом и земельными ресурсами </w:t>
      </w:r>
      <w:r/>
    </w:p>
    <w:p>
      <w:pPr>
        <w:jc w:val="both"/>
      </w:pPr>
      <w:r>
        <w:t xml:space="preserve">администрации города Нижнего Новгорода</w:t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Заявка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на участие в аукционе в электронной форме с открытой формой подачи предложений о цене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муниципального образования городской о</w:t>
      </w:r>
      <w:r>
        <w:rPr>
          <w:b/>
          <w:sz w:val="28"/>
          <w:szCs w:val="28"/>
        </w:rPr>
        <w:t xml:space="preserve">круг город Нижний Новгород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№_________ Номер электронного аукциона № ____________ Дата электронного аукциона «____»______________202_г.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Претендент_____________________________________________________________________________________________________________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(Ф.И.О. физического лица либо полное наименование юридического лица)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индивидуальных предпринимателей: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</w:t>
      </w:r>
      <w:r>
        <w:rPr>
          <w:sz w:val="26"/>
          <w:szCs w:val="26"/>
        </w:rPr>
        <w:t xml:space="preserve">стоверяющий личность: паспорт </w:t>
      </w:r>
      <w:r>
        <w:rPr>
          <w:sz w:val="26"/>
          <w:szCs w:val="26"/>
        </w:rPr>
        <w:t xml:space="preserve">серия___________</w:t>
      </w:r>
      <w:r>
        <w:rPr>
          <w:sz w:val="26"/>
          <w:szCs w:val="26"/>
        </w:rPr>
        <w:t xml:space="preserve">, № ___________________, выдан «____»_________________ года (кем выдан)__________________________________________________________________________________________________________________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рождения «____»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____________года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__________________________________________________________________________________________________________________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Телефон________________________________ адрес электронной почты______________________________________________________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Дополнительно для индивидуальных предпринимателей: </w:t>
      </w:r>
      <w:r>
        <w:rPr>
          <w:sz w:val="26"/>
          <w:szCs w:val="26"/>
        </w:rPr>
        <w:t xml:space="preserve">ОГРНИП</w:t>
      </w:r>
      <w:r>
        <w:rPr>
          <w:sz w:val="22"/>
        </w:rPr>
        <w:t xml:space="preserve">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u w:val="single"/>
        </w:rPr>
      </w:pPr>
      <w:r>
        <w:rPr>
          <w:u w:val="single"/>
        </w:rPr>
        <w:t xml:space="preserve"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</w:t>
      </w:r>
      <w:r>
        <w:rPr>
          <w:b/>
          <w:u w:val="single"/>
        </w:rPr>
        <w:t xml:space="preserve">РАНИЦЫ ПАСПОРТА), </w:t>
      </w:r>
      <w:r>
        <w:rPr>
          <w:u w:val="single"/>
        </w:rPr>
        <w:t xml:space="preserve">путем размещения на электронной площадке.</w:t>
      </w:r>
      <w:r>
        <w:rPr>
          <w:u w:val="single"/>
        </w:rPr>
      </w:r>
      <w:r>
        <w:rPr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Доверенное лицо Претендента (ФИО</w:t>
      </w:r>
      <w:r>
        <w:rPr>
          <w:sz w:val="22"/>
          <w:szCs w:val="22"/>
        </w:rPr>
        <w:t xml:space="preserve">) _______________________________________________________________________________________________________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6"/>
          <w:szCs w:val="26"/>
        </w:rPr>
        <w:t xml:space="preserve"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</w:t>
      </w: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t xml:space="preserve"> (наименование документа, серия, дата и место выдачи)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юридических лиц: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rPr>
          <w:sz w:val="22"/>
        </w:rPr>
      </w:pPr>
      <w:r>
        <w:rPr>
          <w:sz w:val="26"/>
          <w:szCs w:val="26"/>
        </w:rPr>
        <w:t xml:space="preserve">Документ о государственной регистрации в качестве юридическоголица</w:t>
      </w:r>
      <w:r>
        <w:rPr>
          <w:sz w:val="22"/>
        </w:rPr>
        <w:t xml:space="preserve">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center"/>
      </w:pPr>
      <w:r>
        <w:t xml:space="preserve">(наименование, номер, дата регистрации, орган, осуществивший</w:t>
      </w:r>
      <w:r>
        <w:t xml:space="preserve"> регистрацию)</w:t>
      </w:r>
      <w:r/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______________________________</w:t>
      </w:r>
      <w:r>
        <w:rPr>
          <w:sz w:val="26"/>
          <w:szCs w:val="26"/>
        </w:rPr>
        <w:t xml:space="preserve">КПП</w:t>
      </w:r>
      <w:r>
        <w:rPr>
          <w:sz w:val="22"/>
        </w:rPr>
        <w:t xml:space="preserve">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2"/>
          <w:u w:val="single"/>
        </w:rPr>
      </w:pPr>
      <w:r>
        <w:rPr>
          <w:sz w:val="26"/>
          <w:szCs w:val="26"/>
        </w:rPr>
        <w:t xml:space="preserve">Должность, ФИО руководителя</w:t>
      </w:r>
      <w:r>
        <w:rPr>
          <w:sz w:val="22"/>
        </w:rPr>
        <w:t xml:space="preserve">_______________________________________________________________________________</w:t>
      </w:r>
      <w:r>
        <w:rPr>
          <w:sz w:val="22"/>
        </w:rPr>
        <w:t xml:space="preserve">______________________________</w:t>
      </w:r>
      <w:r>
        <w:rPr>
          <w:sz w:val="22"/>
          <w:u w:val="single"/>
        </w:rPr>
      </w:r>
      <w:r>
        <w:rPr>
          <w:sz w:val="22"/>
          <w:u w:val="single"/>
        </w:rPr>
      </w:r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Юридический адрес</w:t>
      </w:r>
      <w:r>
        <w:rPr>
          <w:sz w:val="22"/>
        </w:rPr>
        <w:t xml:space="preserve">_________________________________________________________________________________________________________________________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адрес________________________________________________________________________</w:t>
      </w:r>
      <w:r>
        <w:rPr>
          <w:sz w:val="26"/>
          <w:szCs w:val="26"/>
        </w:rPr>
        <w:t xml:space="preserve">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 Факс 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лице Представителя претендента 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Действует на основании доверенности № ____________  «____» _________ 20_________года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 доверенного лица 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t xml:space="preserve">                                                    </w:t>
      </w:r>
      <w:r>
        <w:t xml:space="preserve">                                          (наименование документа, серия, номер, дата, кем выдан)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i/>
          <w:sz w:val="22"/>
        </w:rPr>
      </w:pPr>
      <w:r>
        <w:rPr>
          <w:b/>
          <w:sz w:val="28"/>
          <w:szCs w:val="28"/>
        </w:rPr>
        <w:t xml:space="preserve"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(далее указывается наименование и местонахождение имущества)</w:t>
      </w:r>
      <w:r>
        <w:rPr>
          <w:i/>
          <w:sz w:val="26"/>
          <w:szCs w:val="26"/>
        </w:rPr>
        <w:t xml:space="preserve">:</w:t>
      </w:r>
      <w:r>
        <w:rPr>
          <w:i/>
          <w:sz w:val="22"/>
        </w:rPr>
        <w:t xml:space="preserve"> _____________________________________________________</w:t>
      </w:r>
      <w:r>
        <w:rPr>
          <w:i/>
          <w:sz w:val="22"/>
        </w:rPr>
        <w:t xml:space="preserve">________________________________________________________________________________________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i/>
          <w:sz w:val="22"/>
        </w:rPr>
      </w:pPr>
      <w:r>
        <w:rPr>
          <w:i/>
          <w:sz w:val="22"/>
        </w:rPr>
        <w:t xml:space="preserve">_____________________________________________________________________________________________________________________________________________.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Обязуюсь: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Соблюдать у</w:t>
      </w:r>
      <w:r>
        <w:rPr>
          <w:sz w:val="26"/>
          <w:szCs w:val="26"/>
        </w:rPr>
        <w:t xml:space="preserve">словия продажи, содержащиеся в информационном сообщении и в опубликованных изменениях, размещаемых на сайтах </w:t>
      </w:r>
      <w:r>
        <w:rPr>
          <w:sz w:val="26"/>
          <w:szCs w:val="26"/>
        </w:rPr>
        <w:t xml:space="preserve">www.нижнийновгород</w:t>
      </w:r>
      <w:r>
        <w:rPr>
          <w:sz w:val="26"/>
          <w:szCs w:val="26"/>
        </w:rPr>
        <w:t xml:space="preserve">.р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www.torgi.gov.ru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www.fabrikant.ru</w:t>
      </w:r>
      <w:r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</w:t>
      </w:r>
      <w:r>
        <w:rPr>
          <w:sz w:val="26"/>
          <w:szCs w:val="26"/>
        </w:rPr>
        <w:t xml:space="preserve">ленный действующим законодательством о приватизации.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 xml:space="preserve"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</w:t>
      </w:r>
      <w:r>
        <w:rPr>
          <w:sz w:val="26"/>
          <w:szCs w:val="26"/>
        </w:rPr>
        <w:t xml:space="preserve">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</w:t>
      </w:r>
      <w:r>
        <w:rPr>
          <w:sz w:val="26"/>
          <w:szCs w:val="26"/>
        </w:rPr>
        <w:t xml:space="preserve"> При уклонении (отказе) от заключения в установленный срок договора</w:t>
      </w:r>
      <w:r>
        <w:rPr>
          <w:sz w:val="26"/>
          <w:szCs w:val="26"/>
        </w:rPr>
        <w:t xml:space="preserve"> купли-продажи задаток и продаваемое имущество остается у Продавца, а результаты аукциона аннулируются.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подтверждае</w:t>
      </w:r>
      <w:r>
        <w:rPr>
          <w:sz w:val="26"/>
          <w:szCs w:val="26"/>
        </w:rPr>
        <w:t xml:space="preserve">м(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против нас (меня) не проводится процедура ликвидации;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наша (моя) деятельность не приостановлена;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располагаем данными о Продавце, предмете продажи, начальной цене продажи имущества, </w:t>
      </w:r>
      <w:r>
        <w:rPr>
          <w:sz w:val="26"/>
          <w:szCs w:val="26"/>
        </w:rPr>
        <w:t xml:space="preserve">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Регламент</w:t>
      </w:r>
      <w:r>
        <w:rPr>
          <w:sz w:val="26"/>
          <w:szCs w:val="26"/>
        </w:rPr>
        <w:t xml:space="preserve">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характеристиками имущества, указанными</w:t>
      </w:r>
      <w:r>
        <w:rPr>
          <w:sz w:val="26"/>
          <w:szCs w:val="26"/>
        </w:rPr>
        <w:t xml:space="preserve">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</w:t>
      </w:r>
      <w:r>
        <w:rPr>
          <w:sz w:val="26"/>
          <w:szCs w:val="26"/>
        </w:rPr>
        <w:t xml:space="preserve">ий не имеем(-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также подтверждаем 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 мы (я), ознакомлен</w:t>
      </w:r>
      <w:r>
        <w:rPr>
          <w:sz w:val="26"/>
          <w:szCs w:val="26"/>
        </w:rPr>
        <w:t xml:space="preserve">ы(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с положениями Федерального закона от 27 июля 2006 г. № 152-ФЗ «О персональных данных», согласны(-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на обработку своих персональных данных и персональных данных довер</w:t>
      </w:r>
      <w:r>
        <w:rPr>
          <w:sz w:val="26"/>
          <w:szCs w:val="26"/>
        </w:rPr>
        <w:t xml:space="preserve">ителя (в случае передоверия).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«___»________________202_ года</w:t>
      </w:r>
      <w:r/>
    </w:p>
    <w:p>
      <w:pPr>
        <w:jc w:val="center"/>
      </w:pPr>
      <w:r>
        <w:t xml:space="preserve">(дата заполнения заявки)</w:t>
      </w:r>
      <w:r/>
    </w:p>
    <w:p>
      <w:pPr>
        <w:jc w:val="center"/>
      </w:pPr>
      <w:r/>
      <w:r/>
    </w:p>
    <w:p>
      <w:pPr>
        <w:rPr>
          <w:sz w:val="26"/>
          <w:szCs w:val="26"/>
        </w:rPr>
      </w:pPr>
      <w:r>
        <w:rPr>
          <w:b/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t xml:space="preserve">Приложение №2</w:t>
      </w: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ПРОЕКТ ДОГОВОРА КУПЛИ-ПРОДАЖИ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МУНИЦИПАЛЬНОГО ИМУЩЕСТВА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pStyle w:val="902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№______ от «____»___________2025 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2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заместителя председателя комитета ________, действующего на основании доверенности от ____, выданной ад</w:t>
      </w:r>
      <w:r>
        <w:rPr>
          <w:spacing w:val="-3"/>
          <w:sz w:val="26"/>
          <w:szCs w:val="26"/>
        </w:rPr>
        <w:t xml:space="preserve">министрацией города Нижнего Новгорода, и _____(для физических лиц:</w:t>
      </w:r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</w:t>
      </w:r>
      <w:r>
        <w:rPr>
          <w:spacing w:val="-3"/>
          <w:sz w:val="26"/>
          <w:szCs w:val="26"/>
        </w:rPr>
        <w:t xml:space="preserve">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</w:t>
      </w:r>
      <w:r>
        <w:rPr>
          <w:spacing w:val="-3"/>
          <w:sz w:val="26"/>
          <w:szCs w:val="26"/>
        </w:rPr>
        <w:t xml:space="preserve">__ № _____ «</w:t>
      </w:r>
      <w:r>
        <w:rPr>
          <w:spacing w:val="-3"/>
          <w:sz w:val="26"/>
          <w:szCs w:val="26"/>
        </w:rPr>
        <w:t xml:space="preserve">О</w:t>
      </w:r>
      <w:r>
        <w:rPr>
          <w:spacing w:val="-3"/>
          <w:sz w:val="26"/>
          <w:szCs w:val="26"/>
        </w:rPr>
        <w:t xml:space="preserve"> продаже муниципального имущества», </w:t>
      </w:r>
      <w:r>
        <w:rPr>
          <w:spacing w:val="-3"/>
          <w:sz w:val="26"/>
          <w:szCs w:val="26"/>
        </w:rPr>
        <w:fldChar w:fldCharType="begin"/>
      </w:r>
      <w:r>
        <w:rPr>
          <w:spacing w:val="-3"/>
          <w:sz w:val="26"/>
          <w:szCs w:val="26"/>
        </w:rPr>
        <w:instrText xml:space="preserve"> FORMTEXT </w:instrText>
      </w:r>
      <w:r>
        <w:rPr>
          <w:spacing w:val="-3"/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 xml:space="preserve">заключили настоящий Договор о нижеследующем: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1.Предмет Договора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567" w:leader="none"/>
          <w:tab w:val="left" w:pos="630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r>
        <w:rPr>
          <w:spacing w:val="-3"/>
          <w:sz w:val="26"/>
          <w:szCs w:val="26"/>
        </w:rPr>
        <w:t xml:space="preserve">–(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</w:t>
      </w:r>
      <w:r>
        <w:rPr>
          <w:spacing w:val="-3"/>
          <w:sz w:val="26"/>
          <w:szCs w:val="26"/>
        </w:rPr>
        <w:t xml:space="preserve">е (здание, помещение)________, площадью ____ кв</w:t>
      </w:r>
      <w:r>
        <w:rPr>
          <w:spacing w:val="-3"/>
          <w:sz w:val="26"/>
          <w:szCs w:val="26"/>
        </w:rPr>
        <w:t xml:space="preserve">.м</w:t>
      </w:r>
      <w:r>
        <w:rPr>
          <w:spacing w:val="-3"/>
          <w:sz w:val="26"/>
          <w:szCs w:val="26"/>
        </w:rPr>
        <w:t xml:space="preserve"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</w:t>
      </w:r>
      <w:r>
        <w:rPr>
          <w:spacing w:val="-3"/>
          <w:sz w:val="26"/>
          <w:szCs w:val="26"/>
        </w:rPr>
        <w:t xml:space="preserve"> _______ сделана запись регистрации № ______, что подтверждается свидетельством о государственной регистрации права от ______ № _______ 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Описание объекта: _____________.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72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 xml:space="preserve"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pStyle w:val="927"/>
        <w:ind w:firstLine="630"/>
        <w:tabs>
          <w:tab w:val="left" w:pos="0" w:leader="none"/>
          <w:tab w:val="left" w:pos="630" w:leader="none"/>
        </w:tabs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  <w:r>
        <w:rPr>
          <w:rFonts w:ascii="Times New Roman" w:hAnsi="Times New Roman" w:cs="Times New Roman"/>
          <w:spacing w:val="-3"/>
          <w:sz w:val="26"/>
          <w:szCs w:val="26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кв.м. 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</w:t>
      </w:r>
      <w:r>
        <w:rPr>
          <w:spacing w:val="-3"/>
          <w:sz w:val="26"/>
          <w:szCs w:val="26"/>
        </w:rPr>
        <w:t xml:space="preserve">ленных пунктов.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Земельный участок (описание):____________.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____</w:t>
      </w:r>
      <w:r>
        <w:rPr>
          <w:spacing w:val="-3"/>
          <w:sz w:val="26"/>
          <w:szCs w:val="26"/>
        </w:rPr>
        <w:t xml:space="preserve">__ </w:t>
      </w:r>
      <w:r>
        <w:rPr>
          <w:spacing w:val="-3"/>
          <w:sz w:val="26"/>
          <w:szCs w:val="26"/>
        </w:rPr>
        <w:t xml:space="preserve">сделана</w:t>
      </w:r>
      <w:r>
        <w:rPr>
          <w:spacing w:val="-3"/>
          <w:sz w:val="26"/>
          <w:szCs w:val="26"/>
        </w:rPr>
        <w:t xml:space="preserve"> запись регистрации № 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r>
        <w:rPr>
          <w:spacing w:val="-3"/>
          <w:sz w:val="26"/>
          <w:szCs w:val="26"/>
        </w:rPr>
        <w:t xml:space="preserve"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r>
        <w:rPr>
          <w:spacing w:val="-3"/>
          <w:sz w:val="26"/>
          <w:szCs w:val="26"/>
        </w:rPr>
        <w:t xml:space="preserve"> подачи п</w:t>
      </w:r>
      <w:r>
        <w:rPr>
          <w:spacing w:val="-3"/>
          <w:sz w:val="26"/>
          <w:szCs w:val="26"/>
        </w:rPr>
        <w:t xml:space="preserve">редложений о цене, согласно которому «Покупатель» признан победителем аукциона/продажи посредством публичного предложения/ по лоту № 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1.3. «Объекты», указанные в п.1.1 настоящего Договора, свободны от любых имущественных прав и претензий третьих лиц.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1.4. Покупатель не имеет претензий к техническому состоянию «объектов».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2. Расчеты по Договору.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z w:val="26"/>
          <w:szCs w:val="26"/>
        </w:rPr>
        <w:t xml:space="preserve">2.1.</w:t>
      </w:r>
      <w:r>
        <w:rPr>
          <w:sz w:val="26"/>
          <w:szCs w:val="26"/>
        </w:rPr>
        <w:tab/>
        <w:t xml:space="preserve">Оплата за «объекты» производится в рублях.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</w:t>
      </w:r>
      <w:r>
        <w:rPr>
          <w:sz w:val="26"/>
          <w:szCs w:val="26"/>
        </w:rPr>
        <w:t xml:space="preserve">оплачивает стоимость «объектов</w:t>
      </w:r>
      <w:r>
        <w:rPr>
          <w:sz w:val="26"/>
          <w:szCs w:val="26"/>
        </w:rPr>
        <w:t xml:space="preserve">», указанных в п.1.1. настоящего договора, в сумме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 налог на добавленную стоимость в размере 20</w:t>
      </w:r>
      <w:r>
        <w:rPr>
          <w:sz w:val="26"/>
          <w:szCs w:val="26"/>
        </w:rPr>
        <w:t xml:space="preserve">% -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(НДС не облагается).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54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 xml:space="preserve">сумм</w:t>
      </w:r>
      <w:r>
        <w:rPr>
          <w:i/>
          <w:sz w:val="26"/>
          <w:szCs w:val="26"/>
        </w:rPr>
        <w:t xml:space="preserve">а прописью</w:t>
      </w:r>
      <w:r>
        <w:rPr>
          <w:sz w:val="26"/>
          <w:szCs w:val="26"/>
        </w:rPr>
        <w:t xml:space="preserve">), засчитывается в счет оплаты стоимости «объекта», указанного в подпункте 1.1.1 настоящего Договора.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2.3. «Покупатель» перечисляет стоимость «объекта</w:t>
      </w:r>
      <w:r>
        <w:rPr>
          <w:sz w:val="26"/>
          <w:szCs w:val="26"/>
        </w:rPr>
        <w:t xml:space="preserve"> (-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)», указанного (-</w:t>
      </w:r>
      <w:r>
        <w:rPr>
          <w:sz w:val="26"/>
          <w:szCs w:val="26"/>
        </w:rPr>
        <w:t xml:space="preserve">ых</w:t>
      </w:r>
      <w:r>
        <w:rPr>
          <w:sz w:val="26"/>
          <w:szCs w:val="26"/>
        </w:rPr>
        <w:t xml:space="preserve">) в подпунктах 1.1.1, 1.1.2 настоящего Договора, за вычетом суммы НДС и</w:t>
      </w:r>
      <w:r>
        <w:rPr>
          <w:sz w:val="26"/>
          <w:szCs w:val="26"/>
        </w:rPr>
        <w:t xml:space="preserve"> задатка, в размере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только в валюте Российской Федерации в порядке, установленном законодательством, «Покупатель» перечисляет на сч</w:t>
      </w:r>
      <w:r>
        <w:rPr>
          <w:sz w:val="26"/>
          <w:szCs w:val="26"/>
        </w:rPr>
        <w:t xml:space="preserve">ет «Продавца»: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казначейский счет: 03100643000000013200, единый казначейский счет: 40102810745370000024, банк: Волго-Вятское ГУ Банка России//УФК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ИНН 5253000265, БИК 012202102, КПП 526001001, ОКТМО 22701000, Код б</w:t>
      </w:r>
      <w:r>
        <w:rPr>
          <w:sz w:val="26"/>
          <w:szCs w:val="26"/>
        </w:rPr>
        <w:t xml:space="preserve">юджетной классификации: 36611413040041000410.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/с 04323024880).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«Оплата за нежилое (помещение,</w:t>
      </w:r>
      <w:r>
        <w:rPr>
          <w:sz w:val="26"/>
          <w:szCs w:val="26"/>
        </w:rPr>
        <w:t xml:space="preserve"> здание с земельным участком</w:t>
      </w:r>
      <w:r>
        <w:rPr>
          <w:sz w:val="26"/>
          <w:szCs w:val="26"/>
        </w:rPr>
        <w:t xml:space="preserve">,) ______, </w:t>
      </w:r>
      <w:r>
        <w:rPr>
          <w:sz w:val="26"/>
          <w:szCs w:val="26"/>
        </w:rPr>
        <w:t xml:space="preserve">расположенное по адресу: _________, договор купли - продажи № ____ от «_____» _______________2025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2.4. «Покупатель» перечисляет _______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- сумму налога на добавленную стоимость, указанную в п. 2.2 настоящего Договора, не позднее 15 календарных дней со дня заключения настоящего Договора: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физических лиц: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.Н.Новгорода, Комит</w:t>
      </w:r>
      <w:r>
        <w:rPr>
          <w:sz w:val="26"/>
          <w:szCs w:val="26"/>
        </w:rPr>
        <w:t xml:space="preserve">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казн</w:t>
      </w:r>
      <w:r>
        <w:rPr>
          <w:sz w:val="26"/>
          <w:szCs w:val="26"/>
        </w:rPr>
        <w:t xml:space="preserve">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купли-продажи № _____ от «____» 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юридических лиц или индивидуальных предпринима</w:t>
      </w:r>
      <w:r>
        <w:rPr>
          <w:sz w:val="26"/>
          <w:szCs w:val="26"/>
          <w:u w:val="single"/>
        </w:rPr>
        <w:t xml:space="preserve">телей: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</w:t>
      </w:r>
      <w:r>
        <w:rPr>
          <w:sz w:val="26"/>
          <w:szCs w:val="26"/>
        </w:rPr>
        <w:t xml:space="preserve">родажи № _____ от «____» 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Обязательство «Покупателя» по уплате налога на добавленную стоимость предусмотрено ст. 161 Налогового Кодекса РФ.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</w:t>
      </w:r>
      <w:r>
        <w:rPr>
          <w:sz w:val="26"/>
          <w:szCs w:val="26"/>
        </w:rPr>
        <w:t xml:space="preserve">в настоящей статье, на расчетный счет </w:t>
      </w:r>
      <w:r>
        <w:rPr>
          <w:spacing w:val="-3"/>
          <w:sz w:val="26"/>
          <w:szCs w:val="26"/>
        </w:rPr>
        <w:t xml:space="preserve">«Продавца».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2.7. Подтверждением оплаты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является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2.8. Оплата по договору третьими лицами не допускается.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3. Права и обязанности сторон.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 По настоящему Догово</w:t>
      </w:r>
      <w:r>
        <w:rPr>
          <w:spacing w:val="-3"/>
          <w:sz w:val="26"/>
          <w:szCs w:val="26"/>
        </w:rPr>
        <w:t xml:space="preserve">ру «Покупатель» обязан: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3.1.1. Произвести оплату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 xml:space="preserve">не позднее 15 календарных дней со дня заключения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3.1.2. Принять передаваемый «Продавцом» «объект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по акту (-</w:t>
      </w:r>
      <w:r>
        <w:rPr>
          <w:spacing w:val="-3"/>
          <w:sz w:val="26"/>
          <w:szCs w:val="26"/>
        </w:rPr>
        <w:t xml:space="preserve">а</w:t>
      </w:r>
      <w:r>
        <w:rPr>
          <w:spacing w:val="-3"/>
          <w:sz w:val="26"/>
          <w:szCs w:val="26"/>
        </w:rPr>
        <w:t xml:space="preserve">м</w:t>
      </w:r>
      <w:r>
        <w:rPr>
          <w:spacing w:val="-3"/>
          <w:sz w:val="26"/>
          <w:szCs w:val="26"/>
        </w:rPr>
        <w:t xml:space="preserve">) приема-передачи в срок не позднее 15 дней после полной оплаты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том качественном состоянии, в котором он (они) существует (-ют) на момент передачи. После подписания акта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</w:t>
      </w:r>
      <w:r>
        <w:rPr>
          <w:spacing w:val="-3"/>
          <w:sz w:val="26"/>
          <w:szCs w:val="26"/>
        </w:rPr>
        <w:t xml:space="preserve">ность за сохранность </w:t>
      </w:r>
      <w:r>
        <w:rPr>
          <w:bCs/>
          <w:sz w:val="26"/>
          <w:szCs w:val="26"/>
          <w:lang w:bidi="ru-RU"/>
        </w:rPr>
        <w:t xml:space="preserve">и бремя содержания</w:t>
      </w:r>
      <w:r>
        <w:rPr>
          <w:spacing w:val="-3"/>
          <w:sz w:val="26"/>
          <w:szCs w:val="26"/>
        </w:rPr>
        <w:t xml:space="preserve"> передаваемого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 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Подписанный (-</w:t>
      </w:r>
      <w:r>
        <w:rPr>
          <w:spacing w:val="-3"/>
          <w:sz w:val="26"/>
          <w:szCs w:val="26"/>
        </w:rPr>
        <w:t xml:space="preserve">ые</w:t>
      </w:r>
      <w:r>
        <w:rPr>
          <w:spacing w:val="-3"/>
          <w:sz w:val="26"/>
          <w:szCs w:val="26"/>
        </w:rPr>
        <w:t xml:space="preserve">) сторонами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подтверждает (-ют) полную оплату его (-их) стоимости.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3.1.3</w:t>
      </w:r>
      <w:r>
        <w:rPr>
          <w:bCs/>
          <w:sz w:val="26"/>
          <w:szCs w:val="26"/>
          <w:lang w:bidi="ru-RU"/>
        </w:rPr>
        <w:t xml:space="preserve">. После выполнения «Продавцом» пункта 3.2.2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3.1.4.</w:t>
      </w:r>
      <w:r>
        <w:t xml:space="preserve"> </w:t>
      </w:r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spacing w:val="-3"/>
          <w:sz w:val="26"/>
          <w:szCs w:val="26"/>
        </w:rPr>
        <w:t xml:space="preserve">общедомовых</w:t>
      </w:r>
      <w:r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</w:t>
      </w:r>
      <w:r>
        <w:rPr>
          <w:i/>
          <w:spacing w:val="-3"/>
          <w:sz w:val="26"/>
          <w:szCs w:val="26"/>
        </w:rPr>
        <w:t xml:space="preserve">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 xml:space="preserve">(в случае прода</w:t>
      </w:r>
      <w:r>
        <w:rPr>
          <w:i/>
          <w:spacing w:val="-3"/>
          <w:sz w:val="26"/>
          <w:szCs w:val="26"/>
        </w:rPr>
        <w:t xml:space="preserve">жи здания</w:t>
      </w:r>
      <w:r>
        <w:rPr>
          <w:i/>
          <w:spacing w:val="-3"/>
          <w:sz w:val="26"/>
          <w:szCs w:val="26"/>
        </w:rPr>
        <w:t xml:space="preserve"> с земельным участком).</w:t>
      </w:r>
      <w:r>
        <w:rPr>
          <w:i/>
          <w:spacing w:val="-3"/>
          <w:sz w:val="26"/>
          <w:szCs w:val="26"/>
        </w:rPr>
      </w:r>
      <w:r>
        <w:rPr>
          <w:i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 xml:space="preserve">если указанное предусмотрено условием приватизации муниципального имущества</w:t>
      </w:r>
      <w:r>
        <w:rPr>
          <w:spacing w:val="-3"/>
          <w:sz w:val="26"/>
          <w:szCs w:val="26"/>
        </w:rPr>
        <w:t xml:space="preserve">)</w:t>
      </w:r>
      <w:r>
        <w:rPr>
          <w:i/>
          <w:spacing w:val="-3"/>
          <w:sz w:val="26"/>
          <w:szCs w:val="26"/>
        </w:rPr>
        <w:t xml:space="preserve">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 По настоящему договору «Продавец» обязан: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3.2.1. Переда</w:t>
      </w:r>
      <w:r>
        <w:rPr>
          <w:spacing w:val="-3"/>
          <w:sz w:val="26"/>
          <w:szCs w:val="26"/>
        </w:rPr>
        <w:t xml:space="preserve">ть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«Покупателю»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течени</w:t>
      </w:r>
      <w:r>
        <w:rPr>
          <w:spacing w:val="-3"/>
          <w:sz w:val="26"/>
          <w:szCs w:val="26"/>
        </w:rPr>
        <w:t xml:space="preserve">и</w:t>
      </w:r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3.2.2. В течение 5 рабочих дней со дня, следующего за днем подписания «Продавцом» и «Покупателем» акта приема-передачи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)», п</w:t>
      </w:r>
      <w:r>
        <w:rPr>
          <w:spacing w:val="-3"/>
          <w:sz w:val="26"/>
          <w:szCs w:val="26"/>
        </w:rPr>
        <w:t xml:space="preserve">одать заявление о государственной регистрации прав на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в орган, осуществляющий государственный кадастровый учет и государственную регистрацию прав, с приложением необходимых документов.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После принятия заявления и документов органом, осуществляющим государственный кадастровый учет и государственную</w:t>
      </w:r>
      <w:r>
        <w:rPr>
          <w:bCs/>
          <w:sz w:val="26"/>
          <w:szCs w:val="26"/>
          <w:lang w:bidi="ru-RU"/>
        </w:rPr>
        <w:t xml:space="preserve">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«Покупателем» в заявке на участие в продаже муниципального имущества.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Возникновение права собственности.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Право собствен</w:t>
      </w:r>
      <w:r>
        <w:rPr>
          <w:bCs/>
          <w:sz w:val="26"/>
          <w:szCs w:val="26"/>
          <w:lang w:bidi="ru-RU"/>
        </w:rPr>
        <w:t xml:space="preserve">ности «Покупателя» на «объект» возникает с момента его государственной регистрации. 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4.2. Государственная регистрация права собственности на «объект» возможна при наличии акта приема-передачи.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4.3. Расходы по регистрации права собственности на «объект» несет «Покупатель».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Ответственность сторон.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5.1. В случае нарушения «Покупателем</w:t>
      </w:r>
      <w:r>
        <w:rPr>
          <w:spacing w:val="-3"/>
          <w:sz w:val="26"/>
          <w:szCs w:val="26"/>
        </w:rPr>
        <w:t xml:space="preserve">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5.2. В случае</w:t>
      </w:r>
      <w:r>
        <w:rPr>
          <w:spacing w:val="-3"/>
          <w:sz w:val="26"/>
          <w:szCs w:val="26"/>
        </w:rPr>
        <w:t xml:space="preserve">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Просрочка внесения денежных сре</w:t>
      </w:r>
      <w:r>
        <w:rPr>
          <w:spacing w:val="-3"/>
          <w:sz w:val="26"/>
          <w:szCs w:val="26"/>
        </w:rPr>
        <w:t xml:space="preserve">дств в сч</w:t>
      </w:r>
      <w:r>
        <w:rPr>
          <w:spacing w:val="-3"/>
          <w:sz w:val="26"/>
          <w:szCs w:val="26"/>
        </w:rPr>
        <w:t xml:space="preserve">ет оплаты имущества в сумме и ср</w:t>
      </w:r>
      <w:r>
        <w:rPr>
          <w:spacing w:val="-3"/>
          <w:sz w:val="26"/>
          <w:szCs w:val="26"/>
        </w:rPr>
        <w:t xml:space="preserve">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r>
        <w:rPr>
          <w:spacing w:val="-3"/>
          <w:sz w:val="26"/>
          <w:szCs w:val="26"/>
        </w:rPr>
        <w:t xml:space="preserve">п</w:t>
      </w:r>
      <w:r>
        <w:rPr>
          <w:spacing w:val="-3"/>
          <w:sz w:val="26"/>
          <w:szCs w:val="26"/>
        </w:rPr>
        <w:t xml:space="preserve"> 2.3. на</w:t>
      </w:r>
      <w:r>
        <w:rPr>
          <w:spacing w:val="-3"/>
          <w:sz w:val="26"/>
          <w:szCs w:val="26"/>
        </w:rPr>
        <w:t xml:space="preserve">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r>
        <w:rPr>
          <w:spacing w:val="-3"/>
          <w:sz w:val="26"/>
          <w:szCs w:val="26"/>
        </w:rPr>
        <w:t xml:space="preserve">с даты отправления</w:t>
      </w:r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</w:t>
      </w:r>
      <w:r>
        <w:rPr>
          <w:spacing w:val="-3"/>
          <w:sz w:val="26"/>
          <w:szCs w:val="26"/>
        </w:rPr>
        <w:t xml:space="preserve"> возвращается.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r>
        <w:rPr>
          <w:spacing w:val="-3"/>
          <w:sz w:val="26"/>
          <w:szCs w:val="26"/>
        </w:rPr>
        <w:t xml:space="preserve">В случае нарушения «Покупателем» сроков принятия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от «Продавца»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соответствии с п. 3.1.2 настоящего Договора</w:t>
      </w:r>
      <w:r>
        <w:rPr>
          <w:spacing w:val="-3"/>
          <w:sz w:val="26"/>
          <w:szCs w:val="26"/>
        </w:rPr>
        <w:t xml:space="preserve">, </w:t>
      </w:r>
      <w:r>
        <w:rPr>
          <w:bCs/>
          <w:sz w:val="26"/>
          <w:szCs w:val="26"/>
          <w:lang w:bidi="ru-RU"/>
        </w:rPr>
        <w:t xml:space="preserve">а также нарушения «Покупателем» условия, предусмотренного п. 3.1.3,</w:t>
      </w:r>
      <w:r>
        <w:rPr>
          <w:spacing w:val="-3"/>
          <w:sz w:val="26"/>
          <w:szCs w:val="26"/>
        </w:rPr>
        <w:t xml:space="preserve"> «Покупатель» уплачивает неустойку в размере 20% от цены, указанной в п. 2.2 насто</w:t>
      </w:r>
      <w:r>
        <w:rPr>
          <w:spacing w:val="-3"/>
          <w:sz w:val="26"/>
          <w:szCs w:val="26"/>
        </w:rPr>
        <w:t xml:space="preserve">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При этом уклонением от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 признается: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несовершение</w:t>
      </w:r>
      <w:r>
        <w:rPr>
          <w:bCs/>
          <w:sz w:val="26"/>
          <w:szCs w:val="26"/>
          <w:lang w:bidi="ru-RU"/>
        </w:rPr>
        <w:t xml:space="preserve"> «Покупателем» в установленные сроки действий по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</w:t>
      </w:r>
      <w:r>
        <w:rPr>
          <w:bCs/>
          <w:sz w:val="26"/>
          <w:szCs w:val="26"/>
          <w:lang w:bidi="ru-RU"/>
        </w:rPr>
        <w:t xml:space="preserve">»;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неустранение</w:t>
      </w:r>
      <w:r>
        <w:rPr>
          <w:bCs/>
          <w:sz w:val="26"/>
          <w:szCs w:val="26"/>
          <w:lang w:bidi="ru-RU"/>
        </w:rPr>
        <w:t xml:space="preserve"> «Покупателем» в установленный органом, осуществляющим г</w:t>
      </w:r>
      <w:r>
        <w:rPr>
          <w:bCs/>
          <w:sz w:val="26"/>
          <w:szCs w:val="26"/>
          <w:lang w:bidi="ru-RU"/>
        </w:rPr>
        <w:t xml:space="preserve">осударственный кадастровый учет и государственную регистрацию прав, срок причин приостановления государственной регистрации, повлекшее отказ в государственной регистрации (если такой отказ не обжалован в установленном порядке, либо в удовлетворении жалобы </w:t>
      </w:r>
      <w:r>
        <w:rPr>
          <w:bCs/>
          <w:sz w:val="26"/>
          <w:szCs w:val="26"/>
          <w:lang w:bidi="ru-RU"/>
        </w:rPr>
        <w:t xml:space="preserve">отказано</w:t>
      </w:r>
      <w:r>
        <w:rPr>
          <w:bCs/>
          <w:sz w:val="26"/>
          <w:szCs w:val="26"/>
          <w:lang w:bidi="ru-RU"/>
        </w:rPr>
        <w:t xml:space="preserve"> и решение об этом вступило в законную силу).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Действие Договора.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Заключительные положения.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7.2. Изменения и дополнения к настоящему Договору имеют </w:t>
      </w:r>
      <w:r>
        <w:rPr>
          <w:sz w:val="26"/>
          <w:szCs w:val="26"/>
        </w:rPr>
        <w:t xml:space="preserve">силу, если они совершены в письменной форме и подписаны уполномоченными на то лицами.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276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spacing w:val="-3"/>
          <w:sz w:val="26"/>
          <w:szCs w:val="26"/>
        </w:rPr>
        <w:t xml:space="preserve">Договор составлен в двух экземплярах, имеющих одинаковую юридическую силу, один из которых остается у «Продавца»,</w:t>
      </w:r>
      <w:r>
        <w:rPr>
          <w:sz w:val="26"/>
          <w:szCs w:val="26"/>
        </w:rPr>
        <w:t xml:space="preserve"> один экземпляр передается </w:t>
      </w:r>
      <w:r>
        <w:rPr>
          <w:spacing w:val="-3"/>
          <w:sz w:val="26"/>
          <w:szCs w:val="26"/>
        </w:rPr>
        <w:t xml:space="preserve">«Покупателю».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46"/>
        <w:gridCol w:w="4927"/>
      </w:tblGrid>
      <w:tr>
        <w:tblPrEx/>
        <w:trPr>
          <w:jc w:val="center"/>
          <w:trHeight w:val="118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  <w:trHeight w:val="349"/>
        </w:trPr>
        <w:tc>
          <w:tcPr>
            <w:tcW w:w="4746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/____________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</w:pPr>
            <w:r>
              <w:rPr>
                <w:spacing w:val="-3"/>
              </w:rPr>
              <w:t xml:space="preserve">по </w:t>
            </w:r>
            <w:r>
              <w:rPr>
                <w:rFonts w:hint="eastAsia"/>
                <w:spacing w:val="-3"/>
              </w:rPr>
              <w:t xml:space="preserve">доверенности</w:t>
            </w:r>
            <w:r>
              <w:rPr>
                <w:spacing w:val="-3"/>
              </w:rPr>
              <w:t xml:space="preserve">/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/___________/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06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«Продавец»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«Покупатель»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tcW w:w="4746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112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              </w:t>
            </w:r>
            <w:r>
              <w:rPr>
                <w:spacing w:val="-3"/>
                <w:lang w:val="en-US"/>
              </w:rPr>
              <w:t xml:space="preserve">     </w:t>
            </w:r>
            <w:r>
              <w:rPr>
                <w:spacing w:val="-3"/>
              </w:rPr>
              <w:t xml:space="preserve">  Реквизиты: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Реквизиты: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9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</w:pPr>
            <w:r/>
            <w:r/>
          </w:p>
        </w:tc>
      </w:tr>
      <w:tr>
        <w:tblPrEx/>
        <w:trPr>
          <w:jc w:val="center"/>
          <w:trHeight w:val="69"/>
        </w:trPr>
        <w:tc>
          <w:tcPr>
            <w:tcW w:w="4746" w:type="dxa"/>
            <w:textDirection w:val="lrTb"/>
            <w:noWrap w:val="false"/>
          </w:tcPr>
          <w:p>
            <w:pPr>
              <w:ind w:left="227" w:firstLine="25"/>
              <w:jc w:val="center"/>
              <w:tabs>
                <w:tab w:val="left" w:pos="227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  <w:sz w:val="16"/>
                <w:szCs w:val="16"/>
              </w:rPr>
            </w:pPr>
            <w:r>
              <w:rPr>
                <w:iCs/>
                <w:spacing w:val="-3"/>
                <w:sz w:val="16"/>
                <w:szCs w:val="16"/>
              </w:rPr>
            </w:r>
            <w:r>
              <w:rPr>
                <w:iCs/>
                <w:spacing w:val="-3"/>
                <w:sz w:val="16"/>
                <w:szCs w:val="16"/>
              </w:rPr>
            </w:r>
            <w:r>
              <w:rPr>
                <w:iCs/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603005, г</w:t>
            </w:r>
            <w:r>
              <w:rPr>
                <w:spacing w:val="-3"/>
              </w:rPr>
              <w:t xml:space="preserve">.Н</w:t>
            </w:r>
            <w:r>
              <w:rPr>
                <w:spacing w:val="-3"/>
              </w:rPr>
              <w:t xml:space="preserve">ижний Новгород, 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ул</w:t>
            </w:r>
            <w:r>
              <w:rPr>
                <w:spacing w:val="-3"/>
              </w:rPr>
              <w:t xml:space="preserve">.Б</w:t>
            </w:r>
            <w:r>
              <w:rPr>
                <w:spacing w:val="-3"/>
              </w:rPr>
              <w:t xml:space="preserve">ольшая Покровская, д.15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ИНН 5253000265/КПП 526001001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____________________________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(Адрес)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</w:tc>
      </w:tr>
    </w:tbl>
    <w:p>
      <w:pPr>
        <w:pStyle w:val="923"/>
        <w:ind w:firstLine="0"/>
        <w:jc w:val="lef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5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3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19"/>
  </w:num>
  <w:num w:numId="8">
    <w:abstractNumId w:val="20"/>
  </w:num>
  <w:num w:numId="9">
    <w:abstractNumId w:val="2"/>
  </w:num>
  <w:num w:numId="10">
    <w:abstractNumId w:val="13"/>
  </w:num>
  <w:num w:numId="11">
    <w:abstractNumId w:val="25"/>
  </w:num>
  <w:num w:numId="12">
    <w:abstractNumId w:val="0"/>
  </w:num>
  <w:num w:numId="13">
    <w:abstractNumId w:val="14"/>
  </w:num>
  <w:num w:numId="14">
    <w:abstractNumId w:val="22"/>
  </w:num>
  <w:num w:numId="15">
    <w:abstractNumId w:val="24"/>
  </w:num>
  <w:num w:numId="16">
    <w:abstractNumId w:val="17"/>
  </w:num>
  <w:num w:numId="17">
    <w:abstractNumId w:val="1"/>
  </w:num>
  <w:num w:numId="18">
    <w:abstractNumId w:val="3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 w:numId="23">
    <w:abstractNumId w:val="10"/>
  </w:num>
  <w:num w:numId="24">
    <w:abstractNumId w:val="5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Title Char"/>
    <w:basedOn w:val="728"/>
    <w:link w:val="908"/>
    <w:uiPriority w:val="10"/>
    <w:rPr>
      <w:sz w:val="48"/>
      <w:szCs w:val="48"/>
    </w:rPr>
  </w:style>
  <w:style w:type="character" w:styleId="723">
    <w:name w:val="Quote Char"/>
    <w:link w:val="746"/>
    <w:uiPriority w:val="29"/>
    <w:rPr>
      <w:i/>
    </w:rPr>
  </w:style>
  <w:style w:type="character" w:styleId="724">
    <w:name w:val="Intense Quote Char"/>
    <w:link w:val="748"/>
    <w:uiPriority w:val="30"/>
    <w:rPr>
      <w:i/>
    </w:rPr>
  </w:style>
  <w:style w:type="character" w:styleId="725">
    <w:name w:val="Footnote Text Char"/>
    <w:link w:val="880"/>
    <w:uiPriority w:val="99"/>
    <w:rPr>
      <w:sz w:val="18"/>
    </w:rPr>
  </w:style>
  <w:style w:type="character" w:styleId="726">
    <w:name w:val="Endnote Text Char"/>
    <w:link w:val="883"/>
    <w:uiPriority w:val="99"/>
    <w:rPr>
      <w:sz w:val="20"/>
    </w:rPr>
  </w:style>
  <w:style w:type="paragraph" w:styleId="727" w:default="1">
    <w:name w:val="Normal"/>
    <w:qFormat/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basedOn w:val="728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8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8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7"/>
    <w:next w:val="727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8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7"/>
    <w:next w:val="72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8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7"/>
    <w:next w:val="727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8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8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8"/>
    <w:link w:val="908"/>
    <w:uiPriority w:val="10"/>
    <w:rPr>
      <w:sz w:val="48"/>
      <w:szCs w:val="48"/>
    </w:rPr>
  </w:style>
  <w:style w:type="character" w:styleId="745" w:customStyle="1">
    <w:name w:val="Subtitle Char"/>
    <w:basedOn w:val="728"/>
    <w:link w:val="911"/>
    <w:uiPriority w:val="11"/>
    <w:rPr>
      <w:sz w:val="24"/>
      <w:szCs w:val="24"/>
    </w:rPr>
  </w:style>
  <w:style w:type="paragraph" w:styleId="746">
    <w:name w:val="Quote"/>
    <w:basedOn w:val="727"/>
    <w:next w:val="72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7"/>
    <w:next w:val="72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8"/>
    <w:link w:val="918"/>
    <w:uiPriority w:val="99"/>
  </w:style>
  <w:style w:type="character" w:styleId="751" w:customStyle="1">
    <w:name w:val="Footer Char"/>
    <w:basedOn w:val="728"/>
    <w:link w:val="920"/>
    <w:uiPriority w:val="99"/>
  </w:style>
  <w:style w:type="paragraph" w:styleId="752" w:customStyle="1">
    <w:name w:val="Caption"/>
    <w:basedOn w:val="727"/>
    <w:next w:val="727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8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7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8"/>
    <w:uiPriority w:val="99"/>
    <w:unhideWhenUsed/>
    <w:rPr>
      <w:vertAlign w:val="superscript"/>
    </w:rPr>
  </w:style>
  <w:style w:type="paragraph" w:styleId="883">
    <w:name w:val="endnote text"/>
    <w:basedOn w:val="727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8"/>
    <w:uiPriority w:val="99"/>
    <w:semiHidden/>
    <w:unhideWhenUsed/>
    <w:rPr>
      <w:vertAlign w:val="superscript"/>
    </w:rPr>
  </w:style>
  <w:style w:type="paragraph" w:styleId="886">
    <w:name w:val="toc 1"/>
    <w:basedOn w:val="727"/>
    <w:next w:val="727"/>
    <w:uiPriority w:val="39"/>
    <w:unhideWhenUsed/>
    <w:pPr>
      <w:spacing w:after="57"/>
    </w:pPr>
  </w:style>
  <w:style w:type="paragraph" w:styleId="887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888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889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890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891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892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893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894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7"/>
    <w:next w:val="727"/>
    <w:uiPriority w:val="99"/>
    <w:unhideWhenUsed/>
  </w:style>
  <w:style w:type="paragraph" w:styleId="897" w:customStyle="1">
    <w:name w:val="Heading 1"/>
    <w:basedOn w:val="727"/>
    <w:next w:val="727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7"/>
    <w:next w:val="727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7"/>
    <w:next w:val="727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7"/>
    <w:next w:val="727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7"/>
    <w:next w:val="727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7"/>
    <w:link w:val="928"/>
    <w:pPr>
      <w:jc w:val="both"/>
    </w:pPr>
  </w:style>
  <w:style w:type="paragraph" w:styleId="903">
    <w:name w:val="Body Text 2"/>
    <w:basedOn w:val="727"/>
    <w:link w:val="929"/>
    <w:pPr>
      <w:jc w:val="center"/>
    </w:pPr>
    <w:rPr>
      <w:sz w:val="18"/>
    </w:rPr>
  </w:style>
  <w:style w:type="paragraph" w:styleId="904">
    <w:name w:val="Body Text 3"/>
    <w:basedOn w:val="727"/>
    <w:pPr>
      <w:jc w:val="center"/>
    </w:pPr>
    <w:rPr>
      <w:b/>
      <w:sz w:val="18"/>
    </w:rPr>
  </w:style>
  <w:style w:type="paragraph" w:styleId="905">
    <w:name w:val="Body Text Indent"/>
    <w:basedOn w:val="727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7"/>
    <w:pPr>
      <w:ind w:firstLine="426"/>
      <w:widowControl w:val="off"/>
    </w:pPr>
    <w:rPr>
      <w:sz w:val="24"/>
    </w:rPr>
  </w:style>
  <w:style w:type="paragraph" w:styleId="907">
    <w:name w:val="Body Text Indent 2"/>
    <w:basedOn w:val="727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7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7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7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7"/>
    <w:link w:val="913"/>
    <w:qFormat/>
    <w:pPr>
      <w:jc w:val="both"/>
    </w:pPr>
    <w:rPr>
      <w:sz w:val="24"/>
    </w:rPr>
  </w:style>
  <w:style w:type="character" w:styleId="912">
    <w:name w:val="Hyperlink"/>
    <w:basedOn w:val="728"/>
    <w:rPr>
      <w:color w:val="0000ff"/>
      <w:u w:val="single"/>
    </w:rPr>
  </w:style>
  <w:style w:type="character" w:styleId="913" w:customStyle="1">
    <w:name w:val="Подзаголовок Знак"/>
    <w:basedOn w:val="728"/>
    <w:link w:val="911"/>
    <w:rPr>
      <w:sz w:val="24"/>
      <w:lang w:val="ru-RU" w:eastAsia="ru-RU" w:bidi="ar-SA"/>
    </w:rPr>
  </w:style>
  <w:style w:type="paragraph" w:styleId="914">
    <w:name w:val="Body Text Indent 3"/>
    <w:basedOn w:val="727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7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7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7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8"/>
    <w:link w:val="918"/>
    <w:uiPriority w:val="99"/>
  </w:style>
  <w:style w:type="paragraph" w:styleId="920" w:customStyle="1">
    <w:name w:val="Footer"/>
    <w:basedOn w:val="727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8"/>
    <w:link w:val="920"/>
  </w:style>
  <w:style w:type="character" w:styleId="922">
    <w:name w:val="FollowedHyperlink"/>
    <w:basedOn w:val="728"/>
    <w:rPr>
      <w:color w:val="800080"/>
      <w:u w:val="single"/>
    </w:rPr>
  </w:style>
  <w:style w:type="paragraph" w:styleId="923" w:customStyle="1">
    <w:name w:val="rezul"/>
    <w:basedOn w:val="727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7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7"/>
    <w:next w:val="727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8"/>
    <w:link w:val="902"/>
  </w:style>
  <w:style w:type="character" w:styleId="929" w:customStyle="1">
    <w:name w:val="Основной текст 2 Знак"/>
    <w:basedOn w:val="728"/>
    <w:link w:val="903"/>
    <w:rPr>
      <w:sz w:val="18"/>
    </w:rPr>
  </w:style>
  <w:style w:type="paragraph" w:styleId="930">
    <w:name w:val="List Paragraph"/>
    <w:basedOn w:val="727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8"/>
    <w:link w:val="907"/>
    <w:rPr>
      <w:sz w:val="24"/>
    </w:rPr>
  </w:style>
  <w:style w:type="character" w:styleId="933" w:customStyle="1">
    <w:name w:val="Body text (2) + 11 pt"/>
    <w:basedOn w:val="7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C522F-2E0B-4311-9621-34FA1076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10</cp:revision>
  <dcterms:created xsi:type="dcterms:W3CDTF">2025-08-25T09:01:00Z</dcterms:created>
  <dcterms:modified xsi:type="dcterms:W3CDTF">2025-09-25T07:08:06Z</dcterms:modified>
</cp:coreProperties>
</file>