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по продаже земельного участка, расположенного по адресу: Р</w:t>
      </w:r>
      <w:r>
        <w:rPr>
          <w:rFonts w:ascii="Times New Roman" w:hAnsi="Times New Roman" w:cs="Times New Roman"/>
          <w:sz w:val="28"/>
          <w:szCs w:val="28"/>
        </w:rPr>
        <w:t xml:space="preserve">оссийская </w:t>
      </w:r>
      <w:r>
        <w:rPr>
          <w:rFonts w:ascii="Times New Roman" w:hAnsi="Times New Roman" w:cs="Times New Roman"/>
          <w:sz w:val="28"/>
          <w:szCs w:val="28"/>
        </w:rPr>
        <w:t xml:space="preserve">Федерация, Нижегородская область, г.о </w:t>
      </w:r>
      <w:r>
        <w:rPr>
          <w:rFonts w:ascii="Times New Roman" w:hAnsi="Times New Roman" w:cs="Times New Roman"/>
          <w:sz w:val="28"/>
          <w:szCs w:val="28"/>
        </w:rPr>
        <w:t xml:space="preserve">город Нижний Новгород, г Нижний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Новгород, ул. Добровольцев, земельный </w:t>
      </w:r>
      <w:r>
        <w:rPr>
          <w:rFonts w:ascii="Times New Roman" w:hAnsi="Times New Roman" w:cs="Times New Roman"/>
          <w:sz w:val="28"/>
          <w:szCs w:val="28"/>
        </w:rPr>
        <w:t xml:space="preserve">участок 46И, кадастровый номер </w:t>
      </w:r>
      <w:r>
        <w:rPr>
          <w:rFonts w:ascii="Times New Roman" w:hAnsi="Times New Roman" w:cs="Times New Roman"/>
          <w:sz w:val="28"/>
          <w:szCs w:val="28"/>
        </w:rPr>
        <w:t xml:space="preserve">52:18:0010411:203, площадью 742 кв.м, с видом разрешенного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использования: для индивидуального </w:t>
      </w:r>
      <w:r>
        <w:rPr>
          <w:rFonts w:ascii="Times New Roman" w:hAnsi="Times New Roman" w:cs="Times New Roman"/>
          <w:sz w:val="28"/>
          <w:szCs w:val="28"/>
        </w:rPr>
        <w:t xml:space="preserve">жилищного строительства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приема заявок: 24.10.</w:t>
      </w:r>
      <w:r>
        <w:rPr>
          <w:rFonts w:ascii="Times New Roman" w:hAnsi="Times New Roman" w:cs="Times New Roman"/>
          <w:sz w:val="28"/>
          <w:szCs w:val="28"/>
        </w:rPr>
        <w:t xml:space="preserve">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18.11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аукциона: 20.11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города Нижнего Но</w:t>
      </w:r>
      <w:r>
        <w:rPr>
          <w:rFonts w:ascii="Times New Roman" w:hAnsi="Times New Roman" w:cs="Times New Roman"/>
          <w:sz w:val="24"/>
          <w:szCs w:val="24"/>
        </w:rPr>
        <w:t xml:space="preserve">вгорода </w:t>
      </w:r>
      <w:r>
        <w:rPr>
          <w:rFonts w:ascii="Times New Roman" w:hAnsi="Times New Roman" w:cs="Times New Roman"/>
          <w:sz w:val="24"/>
          <w:szCs w:val="24"/>
        </w:rPr>
        <w:t xml:space="preserve">от 07.10.</w:t>
      </w:r>
      <w:r>
        <w:rPr>
          <w:rFonts w:ascii="Times New Roman" w:hAnsi="Times New Roman" w:cs="Times New Roman"/>
          <w:sz w:val="24"/>
          <w:szCs w:val="24"/>
        </w:rPr>
        <w:t xml:space="preserve">2025</w:t>
      </w:r>
      <w:r>
        <w:rPr>
          <w:rFonts w:ascii="Times New Roman" w:hAnsi="Times New Roman" w:cs="Times New Roman"/>
          <w:sz w:val="24"/>
          <w:szCs w:val="24"/>
        </w:rPr>
        <w:t xml:space="preserve"> № 12708 </w:t>
      </w:r>
      <w:r>
        <w:rPr>
          <w:rFonts w:ascii="Times New Roman" w:hAnsi="Times New Roman" w:cs="Times New Roman"/>
          <w:sz w:val="24"/>
          <w:szCs w:val="24"/>
        </w:rPr>
        <w:t xml:space="preserve">«О </w:t>
      </w:r>
      <w:r>
        <w:rPr>
          <w:rFonts w:ascii="Times New Roman" w:hAnsi="Times New Roman" w:cs="Times New Roman"/>
          <w:sz w:val="24"/>
          <w:szCs w:val="24"/>
        </w:rPr>
        <w:t xml:space="preserve">проведен</w:t>
      </w:r>
      <w:r>
        <w:rPr>
          <w:rFonts w:ascii="Times New Roman" w:hAnsi="Times New Roman" w:cs="Times New Roman"/>
          <w:sz w:val="24"/>
          <w:szCs w:val="24"/>
        </w:rPr>
        <w:t xml:space="preserve">ии </w:t>
      </w:r>
      <w:r>
        <w:rPr>
          <w:rFonts w:ascii="Times New Roman" w:hAnsi="Times New Roman" w:cs="Times New Roman"/>
          <w:sz w:val="24"/>
          <w:szCs w:val="24"/>
        </w:rPr>
        <w:t xml:space="preserve">ау</w:t>
      </w:r>
      <w:r>
        <w:rPr>
          <w:rFonts w:ascii="Times New Roman" w:hAnsi="Times New Roman" w:cs="Times New Roman"/>
          <w:sz w:val="24"/>
          <w:szCs w:val="24"/>
        </w:rPr>
        <w:t xml:space="preserve">кциона в электронной форме </w:t>
      </w:r>
      <w:r>
        <w:rPr>
          <w:rStyle w:val="889"/>
          <w:rFonts w:ascii="Times New Roman" w:hAnsi="Times New Roman" w:cs="Times New Roman"/>
          <w:color w:val="000000"/>
          <w:sz w:val="24"/>
          <w:szCs w:val="24"/>
        </w:rPr>
        <w:t xml:space="preserve">по продаже земельного участка, расположенного по адресу: </w:t>
      </w: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оссийская </w:t>
      </w:r>
      <w:r>
        <w:rPr>
          <w:rFonts w:ascii="Times New Roman" w:hAnsi="Times New Roman" w:cs="Times New Roman"/>
          <w:sz w:val="24"/>
          <w:szCs w:val="24"/>
        </w:rPr>
        <w:t xml:space="preserve">Федерация, Нижегородская область, г.о </w:t>
      </w:r>
      <w:r>
        <w:rPr>
          <w:rFonts w:ascii="Times New Roman" w:hAnsi="Times New Roman" w:cs="Times New Roman"/>
          <w:sz w:val="24"/>
          <w:szCs w:val="24"/>
        </w:rPr>
        <w:t xml:space="preserve">город Нижний Новгород, г Нижний </w:t>
      </w:r>
      <w:r>
        <w:rPr>
          <w:rFonts w:ascii="Times New Roman" w:hAnsi="Times New Roman" w:cs="Times New Roman"/>
          <w:sz w:val="24"/>
          <w:szCs w:val="24"/>
        </w:rPr>
        <w:t xml:space="preserve">Новгород, ул. Добровольцев, земельный </w:t>
      </w:r>
      <w:r>
        <w:rPr>
          <w:rFonts w:ascii="Times New Roman" w:hAnsi="Times New Roman" w:cs="Times New Roman"/>
          <w:sz w:val="24"/>
          <w:szCs w:val="24"/>
        </w:rPr>
        <w:t xml:space="preserve">участок 46И, кадастровый номер </w:t>
      </w:r>
      <w:r>
        <w:rPr>
          <w:rFonts w:ascii="Times New Roman" w:hAnsi="Times New Roman" w:cs="Times New Roman"/>
          <w:sz w:val="24"/>
          <w:szCs w:val="24"/>
        </w:rPr>
        <w:t xml:space="preserve">52:18:0010411:203, с видом разрешенного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использования: для индивидуального </w:t>
      </w:r>
      <w:r>
        <w:rPr>
          <w:rFonts w:ascii="Times New Roman" w:hAnsi="Times New Roman" w:cs="Times New Roman"/>
          <w:sz w:val="24"/>
          <w:szCs w:val="24"/>
        </w:rPr>
        <w:t xml:space="preserve">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Нижегородской</w:t>
      </w:r>
      <w:r>
        <w:rPr>
          <w:rFonts w:ascii="Times New Roman" w:hAnsi="Times New Roman" w:cs="Times New Roman"/>
          <w:sz w:val="24"/>
          <w:szCs w:val="24"/>
        </w:rPr>
        <w:t xml:space="preserve">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Продавец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603082</w:t>
      </w:r>
      <w:r>
        <w:rPr>
          <w:rFonts w:ascii="Times New Roman" w:hAnsi="Times New Roman" w:cs="Times New Roman"/>
          <w:sz w:val="24"/>
          <w:szCs w:val="24"/>
        </w:rPr>
        <w:t xml:space="preserve">, город</w:t>
      </w:r>
      <w:r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(831) 467-10-03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Комитет по управлению городским имуществом и земельными ресурсами администрации города Нижнего Новгорода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603005, г</w:t>
      </w:r>
      <w:r>
        <w:rPr>
          <w:rFonts w:ascii="Times New Roman" w:hAnsi="Times New Roman" w:cs="Times New Roman"/>
          <w:sz w:val="24"/>
          <w:szCs w:val="24"/>
        </w:rPr>
        <w:t xml:space="preserve">. Н.Новгород, улица Большая Покровская, дом 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81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81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1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1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(831) </w:t>
      </w:r>
      <w:r>
        <w:rPr>
          <w:rFonts w:ascii="Times New Roman" w:hAnsi="Times New Roman" w:cs="Times New Roman"/>
          <w:sz w:val="24"/>
          <w:szCs w:val="24"/>
        </w:rPr>
        <w:t xml:space="preserve">435-69-23, 435-69-24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е</w:t>
      </w:r>
      <w:r>
        <w:rPr>
          <w:rFonts w:ascii="Times New Roman" w:hAnsi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81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514</w:t>
      </w:r>
      <w:r>
        <w:rPr>
          <w:rFonts w:ascii="Times New Roman" w:hAnsi="Times New Roman" w:cs="Times New Roman"/>
          <w:sz w:val="24"/>
          <w:szCs w:val="24"/>
        </w:rPr>
        <w:t xml:space="preserve">-0</w:t>
      </w:r>
      <w:r>
        <w:rPr>
          <w:rFonts w:ascii="Times New Roman" w:hAnsi="Times New Roman" w:cs="Times New Roman"/>
          <w:sz w:val="24"/>
          <w:szCs w:val="24"/>
        </w:rPr>
        <w:t xml:space="preserve">2-04.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 </w:t>
      </w:r>
      <w:r>
        <w:rPr>
          <w:rFonts w:ascii="Times New Roman" w:hAnsi="Times New Roman" w:cs="Times New Roman"/>
          <w:b/>
          <w:sz w:val="24"/>
          <w:szCs w:val="24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земельный участок, находящийся в муниципальной собственности, расположенный по адресу: Российская Федерация, Нижегородская область, г.о город Нижний Новгород, г Нижний Новгород, ул. Добровольцев, земельный участок 46И, </w:t>
      </w:r>
      <w:r>
        <w:rPr>
          <w:rFonts w:ascii="Times New Roman" w:hAnsi="Times New Roman" w:cs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 w:cs="Times New Roman"/>
          <w:sz w:val="24"/>
          <w:szCs w:val="24"/>
        </w:rPr>
        <w:t xml:space="preserve">52:18:0010411:203, с видом разрешенного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использования: для индивидуального </w:t>
      </w:r>
      <w:r>
        <w:rPr>
          <w:rFonts w:ascii="Times New Roman" w:hAnsi="Times New Roman" w:cs="Times New Roman"/>
          <w:sz w:val="24"/>
          <w:szCs w:val="24"/>
        </w:rPr>
        <w:t xml:space="preserve">жилищного строительства </w:t>
      </w:r>
      <w:r>
        <w:rPr>
          <w:rFonts w:ascii="Times New Roman" w:hAnsi="Times New Roman" w:cs="Times New Roman"/>
          <w:sz w:val="24"/>
          <w:szCs w:val="24"/>
        </w:rPr>
        <w:t xml:space="preserve">(далее – земельный участок).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2.5.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земельном участке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г.о город Нижний Новгород, г Нижний Новгород, </w:t>
      </w:r>
      <w:r>
        <w:rPr>
          <w:rFonts w:ascii="Times New Roman" w:hAnsi="Times New Roman" w:cs="Times New Roman"/>
          <w:sz w:val="24"/>
          <w:szCs w:val="24"/>
        </w:rPr>
        <w:t xml:space="preserve">ул.Добровольцев, земельный участок 46И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Площадь</w:t>
      </w:r>
      <w:r>
        <w:rPr>
          <w:rFonts w:ascii="Times New Roman" w:hAnsi="Times New Roman" w:cs="Times New Roman"/>
          <w:sz w:val="24"/>
          <w:szCs w:val="24"/>
        </w:rPr>
        <w:t xml:space="preserve">: 742 +/-10 кв.м.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Кадастровый номер</w:t>
      </w:r>
      <w:r>
        <w:rPr>
          <w:rFonts w:ascii="Times New Roman" w:hAnsi="Times New Roman" w:cs="Times New Roman"/>
          <w:sz w:val="24"/>
          <w:szCs w:val="24"/>
        </w:rPr>
        <w:t xml:space="preserve">: 52:18:0010411:203.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Категория земель</w:t>
      </w:r>
      <w:r>
        <w:rPr>
          <w:rFonts w:ascii="Times New Roman" w:hAnsi="Times New Roman" w:cs="Times New Roman"/>
          <w:sz w:val="24"/>
          <w:szCs w:val="24"/>
        </w:rPr>
        <w:t xml:space="preserve">: земли населенных пунктов.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Виды разрешенного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: для индивидуального жилищного строительства.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Ограничения (обременения) права на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: не зарегистрированы. 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правах на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: Правообладатель: город Нижний Новгород. Вид, номер, дата государственной регистрации права: Собственность,  № </w:t>
      </w:r>
      <w:r>
        <w:rPr>
          <w:rFonts w:ascii="Times New Roman" w:hAnsi="Times New Roman" w:cs="Times New Roman"/>
          <w:sz w:val="24"/>
          <w:szCs w:val="24"/>
        </w:rPr>
        <w:t xml:space="preserve">52:18:0010411:203-52/279/2024-1, дата регистрации </w:t>
      </w:r>
      <w:r>
        <w:rPr>
          <w:rFonts w:ascii="Times New Roman" w:hAnsi="Times New Roman" w:cs="Times New Roman"/>
          <w:sz w:val="24"/>
          <w:szCs w:val="24"/>
        </w:rPr>
        <w:t xml:space="preserve">19.02.2024.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расположенного по адресу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Style w:val="889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Нижегородская область, городской округ город Нижний Новгород, г. Нижний Новгород, ул. Добровольцев, земельный участок 46И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№ РФ-52-2-01-0-00-2025-0840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-0, дата выдачи 11.09.2025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Градостроительный план содержит сведения: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наличии или отсутствии ограничений в использовании земельного участка (п.5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(стоимость земельного участка) –</w:t>
      </w:r>
      <w:r>
        <w:rPr>
          <w:rFonts w:ascii="Times New Roman" w:hAnsi="Times New Roman" w:cs="Times New Roman"/>
          <w:b/>
          <w:sz w:val="24"/>
          <w:szCs w:val="24"/>
        </w:rPr>
        <w:t xml:space="preserve"> 3 004 780 </w:t>
      </w:r>
      <w:r>
        <w:rPr>
          <w:rFonts w:ascii="Times New Roman" w:hAnsi="Times New Roman" w:cs="Times New Roman"/>
          <w:b/>
          <w:sz w:val="24"/>
          <w:szCs w:val="24"/>
        </w:rPr>
        <w:t xml:space="preserve">(три миллиона четыре тысячи семьсот восемьдесят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земельного участка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</w:rPr>
        <w:t xml:space="preserve">25.08</w:t>
      </w:r>
      <w:r>
        <w:rPr>
          <w:rFonts w:ascii="Times New Roman" w:hAnsi="Times New Roman" w:cs="Times New Roman"/>
          <w:bCs/>
          <w:sz w:val="24"/>
          <w:szCs w:val="24"/>
        </w:rPr>
        <w:t xml:space="preserve">.2025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№ 104</w:t>
      </w:r>
      <w:r>
        <w:rPr>
          <w:rFonts w:ascii="Times New Roman" w:hAnsi="Times New Roman" w:cs="Times New Roman"/>
          <w:bCs/>
          <w:sz w:val="24"/>
          <w:szCs w:val="24"/>
        </w:rPr>
        <w:t xml:space="preserve">-13/25-1/01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 оценке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>
        <w:rPr>
          <w:rFonts w:ascii="Times New Roman" w:hAnsi="Times New Roman" w:cs="Times New Roman"/>
          <w:bCs/>
          <w:sz w:val="24"/>
          <w:szCs w:val="24"/>
        </w:rPr>
        <w:t xml:space="preserve">емельный участок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площадью 742</w:t>
      </w:r>
      <w:r>
        <w:rPr>
          <w:rFonts w:ascii="Times New Roman" w:hAnsi="Times New Roman" w:cs="Times New Roman"/>
          <w:bCs/>
          <w:sz w:val="24"/>
          <w:szCs w:val="24"/>
        </w:rPr>
        <w:t xml:space="preserve"> кв.м., </w:t>
      </w:r>
      <w:r>
        <w:rPr>
          <w:rFonts w:ascii="Times New Roman" w:hAnsi="Times New Roman" w:cs="Times New Roman"/>
          <w:bCs/>
          <w:sz w:val="24"/>
          <w:szCs w:val="24"/>
        </w:rPr>
        <w:t xml:space="preserve">кадас</w:t>
      </w:r>
      <w:r>
        <w:rPr>
          <w:rFonts w:ascii="Times New Roman" w:hAnsi="Times New Roman" w:cs="Times New Roman"/>
          <w:bCs/>
          <w:sz w:val="24"/>
          <w:szCs w:val="24"/>
        </w:rPr>
        <w:t xml:space="preserve">тровый номер: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52:18:0010411:203</w:t>
      </w:r>
      <w:r>
        <w:rPr>
          <w:rFonts w:ascii="Times New Roman" w:hAnsi="Times New Roman" w:cs="Times New Roman"/>
          <w:bCs/>
          <w:sz w:val="24"/>
          <w:szCs w:val="24"/>
        </w:rPr>
        <w:t xml:space="preserve">, адрес: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г.о город Нижний Новгород, г Нижний Новгород, Сормовский р-н, ул. Добровольцев, земельный участок 46И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выполненного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ООО «</w:t>
      </w:r>
      <w:r>
        <w:rPr>
          <w:rFonts w:ascii="Times New Roman" w:hAnsi="Times New Roman" w:cs="Times New Roman"/>
          <w:sz w:val="24"/>
          <w:szCs w:val="24"/>
        </w:rPr>
        <w:t xml:space="preserve">Алекса-Групп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приобретаемого в собственность земельного участка производится согласно разделу 2 договора купли-продажи земельного участка (</w:t>
      </w:r>
      <w:r>
        <w:rPr>
          <w:rFonts w:ascii="Times New Roman" w:hAnsi="Times New Roman" w:cs="Times New Roman"/>
          <w:sz w:val="24"/>
          <w:szCs w:val="24"/>
        </w:rPr>
        <w:t xml:space="preserve">Приложение № 3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90 140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рублей.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</w:rPr>
        <w:t xml:space="preserve"> в размере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1 502 390 </w:t>
      </w:r>
      <w:r>
        <w:rPr>
          <w:rFonts w:ascii="Times New Roman" w:hAnsi="Times New Roman" w:cs="Times New Roman"/>
          <w:b/>
          <w:sz w:val="24"/>
          <w:szCs w:val="24"/>
        </w:rPr>
        <w:t xml:space="preserve">(один миллион пятьсот две тысячи триста девяносто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Размер</w:t>
      </w:r>
      <w:r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</w:t>
      </w:r>
      <w:r>
        <w:rPr>
          <w:rFonts w:ascii="Times New Roman" w:hAnsi="Times New Roman" w:cs="Times New Roman"/>
          <w:sz w:val="24"/>
          <w:szCs w:val="24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- </w:t>
      </w:r>
      <w:r>
        <w:rPr>
          <w:rFonts w:ascii="Times New Roman" w:hAnsi="Times New Roman" w:cs="Times New Roman"/>
          <w:sz w:val="24"/>
          <w:szCs w:val="24"/>
        </w:rPr>
        <w:t xml:space="preserve">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Место приема з</w:t>
      </w:r>
      <w:r>
        <w:rPr>
          <w:rFonts w:ascii="Times New Roman" w:hAnsi="Times New Roman" w:cs="Times New Roman"/>
          <w:b/>
          <w:sz w:val="24"/>
          <w:szCs w:val="24"/>
        </w:rPr>
        <w:t xml:space="preserve">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7" w:tooltip="http://www.fabrikant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</w:rPr>
        <w:t xml:space="preserve"> 24.10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час. 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18.11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025</w:t>
      </w:r>
      <w:r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час. 00 мин.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окончания рассмотрения Заявок: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19.11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  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8" w:tooltip="http://www.fabrikant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проведения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20.11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 час.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88"/>
        <w:ind w:firstLine="640"/>
        <w:jc w:val="both"/>
        <w:spacing w:before="0" w:beforeAutospacing="0" w:after="0" w:afterAutospacing="0" w:line="341" w:lineRule="atLeast"/>
      </w:pPr>
      <w:r>
        <w:rPr>
          <w:b/>
        </w:rPr>
        <w:t xml:space="preserve">3.1</w:t>
      </w:r>
      <w:r>
        <w:rPr>
          <w:b/>
        </w:rPr>
        <w:t xml:space="preserve">.  </w:t>
      </w:r>
      <w:r>
        <w:t xml:space="preserve"> 12.03.2025</w:t>
      </w:r>
      <w:r>
        <w:t xml:space="preserve"> Организатором торгов размещено извещение о предоставлении земельного участка в соответствии с подпунктом 1 пункта 1 статьи 39.18 Земельного кодекса Российской Федерации.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3.2.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телекоммуникационной сети «Интернет» для размещения информации о проведении торгов по адресу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tooltip="http://www.torgi.gov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 электронной площадке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tooltip="http://www.fabrikant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</w:t>
      </w:r>
      <w:r>
        <w:rPr>
          <w:rFonts w:ascii="Times New Roman" w:hAnsi="Times New Roman" w:cs="Times New Roman"/>
          <w:sz w:val="24"/>
          <w:szCs w:val="24"/>
        </w:rPr>
        <w:t xml:space="preserve">ями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 xml:space="preserve">, Заявители</w:t>
      </w:r>
      <w:r>
        <w:rPr>
          <w:rFonts w:ascii="Times New Roman" w:hAnsi="Times New Roman" w:cs="Times New Roman"/>
          <w:sz w:val="24"/>
          <w:szCs w:val="24"/>
        </w:rPr>
        <w:t xml:space="preserve">) могут</w:t>
      </w:r>
      <w:r>
        <w:rPr>
          <w:rFonts w:ascii="Times New Roman" w:hAnsi="Times New Roman" w:cs="Times New Roman"/>
          <w:sz w:val="24"/>
          <w:szCs w:val="24"/>
        </w:rPr>
        <w:t xml:space="preserve"> быть </w:t>
      </w:r>
      <w:r>
        <w:rPr>
          <w:rFonts w:ascii="Times New Roman" w:hAnsi="Times New Roman" w:cs="Times New Roman"/>
          <w:sz w:val="24"/>
          <w:szCs w:val="24"/>
        </w:rPr>
        <w:t xml:space="preserve">ТОЛЬКО ГРАЖДАНЕ</w:t>
      </w:r>
      <w:r>
        <w:rPr>
          <w:rFonts w:ascii="Times New Roman" w:hAnsi="Times New Roman" w:cs="Times New Roman"/>
          <w:sz w:val="24"/>
          <w:szCs w:val="24"/>
        </w:rPr>
        <w:t xml:space="preserve">, имеющи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торгов (</w:t>
      </w:r>
      <w:hyperlink r:id="rId22" w:tooltip="http://www.torgi.gov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</w:t>
      </w:r>
      <w:r>
        <w:rPr>
          <w:rFonts w:ascii="Times New Roman" w:hAnsi="Times New Roman" w:cs="Times New Roman"/>
          <w:sz w:val="24"/>
          <w:szCs w:val="24"/>
        </w:rPr>
        <w:t xml:space="preserve">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Регламентом и Инструкциями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>
        <w:rPr>
          <w:rFonts w:ascii="Times New Roman" w:hAnsi="Times New Roman" w:cs="Times New Roman"/>
          <w:sz w:val="24"/>
          <w:szCs w:val="24"/>
        </w:rPr>
        <w:t xml:space="preserve">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>
        <w:rPr>
          <w:rFonts w:ascii="Times New Roman" w:hAnsi="Times New Roman" w:cs="Times New Roman"/>
          <w:sz w:val="24"/>
          <w:szCs w:val="24"/>
        </w:rPr>
        <w:t xml:space="preserve">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</w:t>
      </w:r>
      <w:r>
        <w:rPr>
          <w:rFonts w:ascii="Times New Roman" w:hAnsi="Times New Roman" w:cs="Times New Roman"/>
          <w:sz w:val="24"/>
          <w:szCs w:val="24"/>
        </w:rPr>
        <w:t xml:space="preserve">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 xml:space="preserve"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КПП </w:t>
      </w:r>
      <w:r>
        <w:rPr>
          <w:rFonts w:ascii="Times New Roman" w:hAnsi="Times New Roman" w:cs="Times New Roman"/>
          <w:sz w:val="24"/>
          <w:szCs w:val="24"/>
        </w:rPr>
        <w:t xml:space="preserve">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 xml:space="preserve">Пополнение лицевого счета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 xml:space="preserve">ние в разделе личного кабинета «</w:t>
      </w:r>
      <w:r>
        <w:rPr>
          <w:rFonts w:ascii="Times New Roman" w:hAnsi="Times New Roman" w:cs="Times New Roman"/>
          <w:sz w:val="24"/>
          <w:szCs w:val="24"/>
        </w:rPr>
        <w:t xml:space="preserve">Электронный кошелек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</w:t>
      </w:r>
      <w:r>
        <w:rPr>
          <w:rFonts w:ascii="Times New Roman" w:hAnsi="Times New Roman" w:cs="Times New Roman"/>
          <w:sz w:val="24"/>
          <w:szCs w:val="24"/>
        </w:rPr>
        <w:t xml:space="preserve">Электронн</w:t>
      </w:r>
      <w:r>
        <w:rPr>
          <w:rFonts w:ascii="Times New Roman" w:hAnsi="Times New Roman" w:cs="Times New Roman"/>
          <w:sz w:val="24"/>
          <w:szCs w:val="24"/>
        </w:rPr>
        <w:t xml:space="preserve">ому</w:t>
      </w:r>
      <w:r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 xml:space="preserve">ь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1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>
        <w:rPr>
          <w:rFonts w:ascii="Times New Roman" w:hAnsi="Times New Roman" w:cs="Times New Roman"/>
          <w:sz w:val="24"/>
          <w:szCs w:val="24"/>
        </w:rPr>
        <w:t xml:space="preserve">Оператора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пункт 2.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</w:t>
      </w:r>
      <w:r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</w:t>
      </w:r>
      <w:r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 xml:space="preserve">енежных средств осуществляется О</w:t>
      </w:r>
      <w:r>
        <w:rPr>
          <w:rFonts w:ascii="Times New Roman" w:hAnsi="Times New Roman" w:cs="Times New Roman"/>
          <w:sz w:val="24"/>
          <w:szCs w:val="24"/>
        </w:rPr>
        <w:t xml:space="preserve"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 xml:space="preserve">ны</w:t>
      </w:r>
      <w:r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>
        <w:rPr>
          <w:rFonts w:ascii="Times New Roman" w:hAnsi="Times New Roman" w:cs="Times New Roman"/>
          <w:sz w:val="24"/>
          <w:szCs w:val="24"/>
        </w:rPr>
        <w:t xml:space="preserve">средств на лицевом счете лиц, участвующих в аукционе, но не победивших в нем, осуществляется после размещения на электронной торговой площадке 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</w:t>
      </w:r>
      <w:r>
        <w:rPr>
          <w:rFonts w:ascii="Times New Roman" w:hAnsi="Times New Roman" w:cs="Times New Roman"/>
          <w:sz w:val="24"/>
          <w:szCs w:val="24"/>
        </w:rPr>
        <w:t xml:space="preserve">, з</w:t>
      </w:r>
      <w:r>
        <w:rPr>
          <w:rFonts w:ascii="Times New Roman" w:hAnsi="Times New Roman" w:cs="Times New Roman"/>
          <w:sz w:val="24"/>
          <w:szCs w:val="24"/>
        </w:rPr>
        <w:t xml:space="preserve">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 xml:space="preserve">п.</w:t>
      </w:r>
      <w:r>
        <w:rPr>
          <w:rFonts w:ascii="Times New Roman" w:hAnsi="Times New Roman" w:cs="Times New Roman"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расчетов и условия взимания вознаграждения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зимания 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</w:t>
      </w:r>
      <w:r>
        <w:rPr>
          <w:rFonts w:ascii="Times New Roman" w:hAnsi="Times New Roman" w:cs="Times New Roman"/>
          <w:sz w:val="24"/>
          <w:szCs w:val="24"/>
        </w:rPr>
        <w:t xml:space="preserve">й в протоколе об итогах торгов П</w:t>
      </w:r>
      <w:r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</w:t>
      </w:r>
      <w:r>
        <w:rPr>
          <w:rFonts w:ascii="Times New Roman" w:hAnsi="Times New Roman" w:cs="Times New Roman"/>
          <w:sz w:val="24"/>
          <w:szCs w:val="24"/>
        </w:rPr>
        <w:t xml:space="preserve">размере, установленном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п.п.</w:t>
      </w:r>
      <w:r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81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</w:rPr>
        <w:t xml:space="preserve">000 (</w:t>
      </w:r>
      <w:r>
        <w:rPr>
          <w:rFonts w:ascii="Times New Roman" w:hAnsi="Times New Roman" w:cs="Times New Roman"/>
          <w:b/>
          <w:sz w:val="24"/>
          <w:szCs w:val="24"/>
        </w:rPr>
        <w:t xml:space="preserve">двух</w:t>
      </w:r>
      <w:r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7.3.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</w:t>
      </w:r>
      <w:r>
        <w:rPr>
          <w:rFonts w:ascii="Times New Roman" w:hAnsi="Times New Roman" w:cs="Times New Roman"/>
          <w:sz w:val="24"/>
          <w:szCs w:val="24"/>
        </w:rPr>
        <w:t xml:space="preserve"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 xml:space="preserve">ия по соответствующей процедуре.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</w:t>
      </w:r>
      <w:r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>
        <w:rPr>
          <w:rFonts w:ascii="Times New Roman" w:hAnsi="Times New Roman" w:cs="Times New Roman"/>
          <w:b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аукционе, Заявитель</w:t>
      </w:r>
      <w:r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 xml:space="preserve"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8" w:tooltip="https://www.fabrikant.ru/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</w:t>
      </w:r>
      <w:r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,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 xml:space="preserve">копии разворотов паспорта с фотографией и пропиской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документы, подтверждающие внесение задатка.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</w:t>
      </w:r>
      <w:r>
        <w:rPr>
          <w:rFonts w:ascii="Times New Roman" w:hAnsi="Times New Roman" w:cs="Times New Roman"/>
          <w:sz w:val="24"/>
          <w:szCs w:val="24"/>
        </w:rPr>
        <w:t xml:space="preserve">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 xml:space="preserve">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>
        <w:rPr>
          <w:rFonts w:ascii="Times New Roman" w:hAnsi="Times New Roman" w:cs="Times New Roman"/>
          <w:sz w:val="24"/>
          <w:szCs w:val="24"/>
        </w:rPr>
        <w:t xml:space="preserve">уведомление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>
        <w:rPr>
          <w:rFonts w:ascii="Times New Roman" w:hAnsi="Times New Roman" w:cs="Times New Roman"/>
          <w:sz w:val="24"/>
          <w:szCs w:val="24"/>
        </w:rPr>
        <w:t xml:space="preserve"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4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аявок на участие в 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4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подача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4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Заявителям, </w:t>
      </w:r>
      <w:r>
        <w:rPr>
          <w:rFonts w:ascii="Times New Roman" w:hAnsi="Times New Roman" w:cs="Times New Roman"/>
          <w:sz w:val="24"/>
          <w:szCs w:val="24"/>
        </w:rPr>
        <w:t xml:space="preserve"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0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</w:t>
      </w:r>
      <w:r>
        <w:rPr>
          <w:rFonts w:ascii="Times New Roman" w:hAnsi="Times New Roman" w:cs="Times New Roman"/>
          <w:sz w:val="24"/>
          <w:szCs w:val="24"/>
        </w:rPr>
        <w:t xml:space="preserve">на «шаг аукциона», установленный</w:t>
      </w:r>
      <w:r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 xml:space="preserve">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.6.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 xml:space="preserve">ета аукциона продлевается на 10 </w:t>
      </w:r>
      <w:r>
        <w:rPr>
          <w:rFonts w:ascii="Times New Roman" w:hAnsi="Times New Roman" w:cs="Times New Roman"/>
          <w:sz w:val="24"/>
          <w:szCs w:val="24"/>
        </w:rPr>
        <w:t xml:space="preserve">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.7.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.8.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.9.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 xml:space="preserve">ганизатору аукциона в течение 1 </w:t>
      </w:r>
      <w:r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 xml:space="preserve">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.10.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не подано ни одной Заявки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купли-продажи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 3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>
        <w:rPr>
          <w:rFonts w:ascii="Times New Roman" w:hAnsi="Times New Roman" w:cs="Times New Roman"/>
          <w:sz w:val="24"/>
          <w:szCs w:val="24"/>
        </w:rPr>
        <w:t xml:space="preserve"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81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 xml:space="preserve">лючение договора купли-продажи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 xml:space="preserve">признан</w:t>
      </w:r>
      <w:r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 xml:space="preserve">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.7.  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обедитель аукциона или иное лицо, с которым заключается договор купли-продажи земельного участка в соответствии с пунктами 13, 14 или 20 ст.39.12 Земельного кодекса Российской Федерации, обязаны подписать договор купли-продажи 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10 (десяти) рабочих 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купли-продажи 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10 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проекта договора купли-продажи земельного участка победителю аукциона не был им подписан в разделе Личный кабинет «Реестр договоров», 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указанный договор Участнику аукциона, который сделал предпоследнее предложение </w:t>
      </w:r>
      <w:r>
        <w:rPr>
          <w:rFonts w:ascii="Times New Roman" w:hAnsi="Times New Roman" w:cs="Times New Roman"/>
          <w:sz w:val="24"/>
          <w:szCs w:val="24"/>
        </w:rPr>
        <w:t xml:space="preserve">о цене предмета аукциона, для его</w:t>
      </w:r>
      <w:r>
        <w:rPr>
          <w:rFonts w:ascii="Times New Roman" w:hAnsi="Times New Roman" w:cs="Times New Roman"/>
          <w:sz w:val="24"/>
          <w:szCs w:val="24"/>
        </w:rPr>
        <w:t xml:space="preserve"> заключения</w:t>
      </w:r>
      <w:r>
        <w:rPr>
          <w:rFonts w:ascii="Times New Roman" w:hAnsi="Times New Roman" w:cs="Times New Roman"/>
          <w:sz w:val="24"/>
          <w:szCs w:val="24"/>
        </w:rPr>
        <w:t xml:space="preserve">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</w:t>
      </w:r>
      <w:r>
        <w:rPr>
          <w:rFonts w:ascii="Times New Roman" w:hAnsi="Times New Roman" w:cs="Times New Roman"/>
          <w:sz w:val="24"/>
          <w:szCs w:val="24"/>
        </w:rPr>
        <w:t xml:space="preserve">10 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в раздел Личный кабинет «Реестр договоров» Участнику, который сделал предпоследнее предложение о цене Предмета аукциона, проекта договора купли-продажи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купли-продажи земельного участка в соответствии с пунктами 13, 14</w:t>
      </w:r>
      <w:r>
        <w:rPr>
          <w:rFonts w:ascii="Times New Roman" w:hAnsi="Times New Roman" w:cs="Times New Roman"/>
          <w:sz w:val="24"/>
          <w:szCs w:val="24"/>
        </w:rPr>
        <w:t xml:space="preserve">, 20 или 25</w:t>
      </w:r>
      <w:r>
        <w:rPr>
          <w:rFonts w:ascii="Times New Roman" w:hAnsi="Times New Roman" w:cs="Times New Roman"/>
          <w:sz w:val="24"/>
          <w:szCs w:val="24"/>
        </w:rPr>
        <w:t xml:space="preserve"> ст.39.12 Земельного кодекса Российской Федерации, в течение </w:t>
      </w:r>
      <w:r>
        <w:rPr>
          <w:rFonts w:ascii="Times New Roman" w:hAnsi="Times New Roman" w:cs="Times New Roman"/>
          <w:sz w:val="24"/>
          <w:szCs w:val="24"/>
        </w:rPr>
        <w:t xml:space="preserve">10 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ему Организатором в раздел Личный кабинет «Реестр договоров» проекта указанного договора купли-продажи, не подписал указанный договор, Организатор аукциона направляет сведения</w:t>
      </w:r>
      <w:r>
        <w:rPr>
          <w:rFonts w:ascii="Times New Roman" w:hAnsi="Times New Roman" w:cs="Times New Roman"/>
          <w:sz w:val="24"/>
          <w:szCs w:val="24"/>
        </w:rPr>
        <w:t xml:space="preserve">, предусмотр</w:t>
      </w:r>
      <w:r>
        <w:rPr>
          <w:rFonts w:ascii="Times New Roman" w:hAnsi="Times New Roman" w:cs="Times New Roman"/>
          <w:sz w:val="24"/>
          <w:szCs w:val="24"/>
        </w:rPr>
        <w:t xml:space="preserve">енные п.29 ст.39.12 Земельного к</w:t>
      </w:r>
      <w:r>
        <w:rPr>
          <w:rFonts w:ascii="Times New Roman" w:hAnsi="Times New Roman" w:cs="Times New Roman"/>
          <w:sz w:val="24"/>
          <w:szCs w:val="24"/>
        </w:rPr>
        <w:t xml:space="preserve">одекса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  <w:r/>
    </w:p>
    <w:sectPr>
      <w:headerReference w:type="default" r:id="rId9"/>
      <w:footnotePr/>
      <w:endnotePr/>
      <w:type w:val="nextPage"/>
      <w:pgSz w:w="11906" w:h="16838" w:orient="portrait"/>
      <w:pgMar w:top="567" w:right="707" w:bottom="709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10000000000000000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7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7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850" w:hanging="360"/>
      </w:pPr>
      <w:rPr>
        <w:rFonts w:hint="default" w:ascii="Symbol" w:hAnsi="Symbol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57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9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1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5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7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1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0"/>
    <w:next w:val="870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1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0"/>
    <w:next w:val="870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1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1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1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1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1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1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0"/>
    <w:next w:val="870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1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0"/>
    <w:next w:val="870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1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No Spacing"/>
    <w:uiPriority w:val="1"/>
    <w:qFormat/>
    <w:pPr>
      <w:spacing w:before="0" w:after="0" w:line="240" w:lineRule="auto"/>
    </w:pPr>
  </w:style>
  <w:style w:type="paragraph" w:styleId="715">
    <w:name w:val="Title"/>
    <w:basedOn w:val="870"/>
    <w:next w:val="870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basedOn w:val="871"/>
    <w:link w:val="715"/>
    <w:uiPriority w:val="10"/>
    <w:rPr>
      <w:sz w:val="48"/>
      <w:szCs w:val="48"/>
    </w:rPr>
  </w:style>
  <w:style w:type="paragraph" w:styleId="717">
    <w:name w:val="Subtitle"/>
    <w:basedOn w:val="870"/>
    <w:next w:val="870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1"/>
    <w:link w:val="717"/>
    <w:uiPriority w:val="11"/>
    <w:rPr>
      <w:sz w:val="24"/>
      <w:szCs w:val="24"/>
    </w:rPr>
  </w:style>
  <w:style w:type="paragraph" w:styleId="719">
    <w:name w:val="Quote"/>
    <w:basedOn w:val="870"/>
    <w:next w:val="870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0"/>
    <w:next w:val="870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character" w:styleId="723">
    <w:name w:val="Header Char"/>
    <w:basedOn w:val="871"/>
    <w:link w:val="876"/>
    <w:uiPriority w:val="99"/>
  </w:style>
  <w:style w:type="character" w:styleId="724">
    <w:name w:val="Footer Char"/>
    <w:basedOn w:val="871"/>
    <w:link w:val="878"/>
    <w:uiPriority w:val="99"/>
  </w:style>
  <w:style w:type="paragraph" w:styleId="725">
    <w:name w:val="Caption"/>
    <w:basedOn w:val="870"/>
    <w:next w:val="870"/>
    <w:link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871"/>
    <w:link w:val="725"/>
    <w:uiPriority w:val="35"/>
    <w:rPr>
      <w:b/>
      <w:bCs/>
      <w:color w:val="4f81bd" w:themeColor="accent1"/>
      <w:sz w:val="18"/>
      <w:szCs w:val="18"/>
    </w:rPr>
  </w:style>
  <w:style w:type="table" w:styleId="727">
    <w:name w:val="Table Grid"/>
    <w:basedOn w:val="8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71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71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paragraph" w:styleId="874">
    <w:name w:val="Body Text 3"/>
    <w:basedOn w:val="870"/>
    <w:link w:val="875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75" w:customStyle="1">
    <w:name w:val="Основной текст 3 Знак"/>
    <w:basedOn w:val="871"/>
    <w:link w:val="874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76">
    <w:name w:val="Header"/>
    <w:basedOn w:val="870"/>
    <w:link w:val="87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7" w:customStyle="1">
    <w:name w:val="Верхний колонтитул Знак"/>
    <w:basedOn w:val="871"/>
    <w:link w:val="876"/>
    <w:uiPriority w:val="99"/>
  </w:style>
  <w:style w:type="paragraph" w:styleId="878">
    <w:name w:val="Footer"/>
    <w:basedOn w:val="870"/>
    <w:link w:val="87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9" w:customStyle="1">
    <w:name w:val="Нижний колонтитул Знак"/>
    <w:basedOn w:val="871"/>
    <w:link w:val="878"/>
    <w:uiPriority w:val="99"/>
  </w:style>
  <w:style w:type="paragraph" w:styleId="880">
    <w:name w:val="List Paragraph"/>
    <w:basedOn w:val="870"/>
    <w:uiPriority w:val="34"/>
    <w:qFormat/>
    <w:pPr>
      <w:contextualSpacing/>
      <w:ind w:left="720"/>
    </w:pPr>
  </w:style>
  <w:style w:type="character" w:styleId="881">
    <w:name w:val="Hyperlink"/>
    <w:basedOn w:val="871"/>
    <w:uiPriority w:val="99"/>
    <w:unhideWhenUsed/>
    <w:rPr>
      <w:color w:val="0000ff" w:themeColor="hyperlink"/>
      <w:u w:val="single"/>
    </w:rPr>
  </w:style>
  <w:style w:type="paragraph" w:styleId="882">
    <w:name w:val="Body Text 2"/>
    <w:basedOn w:val="870"/>
    <w:link w:val="883"/>
    <w:uiPriority w:val="99"/>
    <w:semiHidden/>
    <w:unhideWhenUsed/>
    <w:pPr>
      <w:spacing w:after="120" w:line="480" w:lineRule="auto"/>
    </w:pPr>
  </w:style>
  <w:style w:type="character" w:styleId="883" w:customStyle="1">
    <w:name w:val="Основной текст 2 Знак"/>
    <w:basedOn w:val="871"/>
    <w:link w:val="882"/>
    <w:uiPriority w:val="99"/>
    <w:semiHidden/>
  </w:style>
  <w:style w:type="paragraph" w:styleId="884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85" w:customStyle="1">
    <w:name w:val="Date_num"/>
    <w:basedOn w:val="871"/>
  </w:style>
  <w:style w:type="character" w:styleId="886" w:customStyle="1">
    <w:name w:val="Unresolved Mention"/>
    <w:basedOn w:val="871"/>
    <w:uiPriority w:val="99"/>
    <w:semiHidden/>
    <w:unhideWhenUsed/>
    <w:rPr>
      <w:color w:val="605e5c"/>
      <w:shd w:val="clear" w:color="auto" w:fill="e1dfdd"/>
    </w:rPr>
  </w:style>
  <w:style w:type="paragraph" w:styleId="887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88">
    <w:name w:val="Normal (Web)"/>
    <w:basedOn w:val="87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9" w:customStyle="1">
    <w:name w:val="docdata"/>
    <w:basedOn w:val="87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661CA-E241-4F11-B418-4ED8CEF44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62</cp:revision>
  <dcterms:created xsi:type="dcterms:W3CDTF">2024-02-21T14:24:00Z</dcterms:created>
  <dcterms:modified xsi:type="dcterms:W3CDTF">2025-10-22T14:43:35Z</dcterms:modified>
</cp:coreProperties>
</file>