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</w:t>
      </w:r>
      <w:r>
        <w:t xml:space="preserve">а Нижнего Новгорода от 03.10.2025 № 12423 «О проведении аукциона в электронной форме на право заключения договора аренды земельн</w:t>
      </w:r>
      <w:r>
        <w:t xml:space="preserve">ого участка, расположенного по адресу: Нижегородская область, город Нижний Новгород, Автозаводский район, п. Новое Доскино, ул. 33-я линия, кадастровый номер 52:18:0040003:119, с видом разрешенного использования: для индивидуального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529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г. Нижний Новгород, Автозаводский район, п. Новое Доскино, ул. 33-я линия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52:18:0040003:119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/>
    </w:p>
    <w:p>
      <w:pPr>
        <w:pStyle w:val="866"/>
        <w:ind w:firstLine="567"/>
        <w:jc w:val="both"/>
        <w:rPr>
          <w:highlight w:val="none"/>
        </w:rPr>
      </w:pPr>
      <w:r>
        <w:t xml:space="preserve">7.2.1. Полностью в границах п</w:t>
      </w:r>
      <w:r>
        <w:t xml:space="preserve">риаэродромной территории </w:t>
      </w:r>
      <w:r>
        <w:t xml:space="preserve">аэродрома гражданской </w:t>
      </w:r>
      <w:r>
        <w:t xml:space="preserve">авиации Нижний Новгород </w:t>
      </w:r>
      <w:r>
        <w:t xml:space="preserve">(Стригино)(реестровый номер: </w:t>
      </w:r>
      <w:r>
        <w:t xml:space="preserve">52:00-6.1079): </w:t>
      </w:r>
      <w:r>
        <w:t xml:space="preserve">подзона 3 (реестровый номер: </w:t>
      </w:r>
      <w:r>
        <w:t xml:space="preserve">52:00-6.1076) </w:t>
      </w:r>
      <w:r>
        <w:t xml:space="preserve">(сектор 21)</w:t>
      </w:r>
      <w:r>
        <w:t xml:space="preserve"> (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24.11.2021 № 878-п "Об установлении </w:t>
      </w:r>
      <w:r>
        <w:t xml:space="preserve">приаэродромной территории аэродрома </w:t>
      </w:r>
      <w:r>
        <w:t xml:space="preserve">Нижний Новгород (Стригино)",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26.10.2023 № 954-П "Об установлении </w:t>
      </w:r>
      <w:r>
        <w:t xml:space="preserve">приаэродромной территории аэродрома </w:t>
      </w:r>
      <w:r>
        <w:t xml:space="preserve">гражданской авиации Нижний Новгород </w:t>
      </w:r>
      <w:r>
        <w:t xml:space="preserve">(Стригино)" (с изменениями),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22.11.2023 № 1052-П "О признании </w:t>
      </w:r>
      <w:r>
        <w:t xml:space="preserve">утратившим силу приказа Федерального </w:t>
      </w:r>
      <w:r>
        <w:t xml:space="preserve">агентства воздушного транспорта от 24 </w:t>
      </w:r>
      <w:r>
        <w:t xml:space="preserve">ноября 2021 г. № 878-П"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135,00 м до 140,00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7.2.2.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номер: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29)</w:t>
      </w:r>
      <w:r>
        <w:rPr>
          <w:highlight w:val="none"/>
        </w:rPr>
        <w:t xml:space="preserve"> </w:t>
      </w:r>
      <w:r>
        <w:t xml:space="preserve">(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24.11.2021 № 878-п "Об установлении </w:t>
      </w:r>
      <w:r>
        <w:t xml:space="preserve">приаэродромной территории аэродрома </w:t>
      </w:r>
      <w:r>
        <w:t xml:space="preserve">Нижний Новгород (Стригино)",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26.10.2023 № 954-П "Об установлении </w:t>
      </w:r>
      <w:r>
        <w:t xml:space="preserve">приаэродромной территории аэродрома </w:t>
      </w:r>
      <w:r>
        <w:t xml:space="preserve">гражданской авиации Нижний Новгород </w:t>
      </w:r>
      <w:r>
        <w:t xml:space="preserve">(Стригино)" (с изменениями),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22.11.2023 № 1052-П "О признании </w:t>
      </w:r>
      <w:r>
        <w:t xml:space="preserve">утратившим силу приказа Федерального </w:t>
      </w:r>
      <w:r>
        <w:t xml:space="preserve">агентства воздушного транспорта от 24 </w:t>
      </w:r>
      <w:r>
        <w:t xml:space="preserve">ноября 2021 г. № 878-П"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7.2.3.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номер: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 </w:t>
      </w:r>
      <w:r>
        <w:t xml:space="preserve">(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24.11.2021 № 878-п "Об установлении </w:t>
      </w:r>
      <w:r>
        <w:t xml:space="preserve">приаэродромной территории аэродрома </w:t>
      </w:r>
      <w:r>
        <w:t xml:space="preserve">Нижний Новгород (Стригино)",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26.10.2023 № 954-П "Об установлении </w:t>
      </w:r>
      <w:r>
        <w:t xml:space="preserve">приаэродромной территории аэродрома </w:t>
      </w:r>
      <w:r>
        <w:t xml:space="preserve">гражданской авиации Нижний Новгород </w:t>
      </w:r>
      <w:r>
        <w:t xml:space="preserve">(Стригино)" (с изменениями),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22.11.2023 № 1052-П "О признании </w:t>
      </w:r>
      <w:r>
        <w:t xml:space="preserve">утратившим силу приказа Федерального </w:t>
      </w:r>
      <w:r>
        <w:t xml:space="preserve">агентства воздушного транспорта от 24 </w:t>
      </w:r>
      <w:r>
        <w:t xml:space="preserve">ноября 2021 г. № 878-П"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</w:t>
      </w:r>
      <w:r>
        <w:rPr>
          <w:highlight w:val="none"/>
        </w:rPr>
        <w:t xml:space="preserve"> 3,</w:t>
      </w:r>
      <w:r>
        <w:rPr>
          <w:highlight w:val="none"/>
        </w:rPr>
        <w:t xml:space="preserve"> коническая </w:t>
      </w:r>
      <w:r>
        <w:rPr>
          <w:highlight w:val="none"/>
        </w:rPr>
        <w:t xml:space="preserve">поверхность 3 сектор) (</w:t>
      </w:r>
      <w:r>
        <w:t xml:space="preserve">Приказ Министерства промышленности и </w:t>
      </w:r>
      <w:r>
        <w:t xml:space="preserve">торговли Российской Федерации от </w:t>
      </w:r>
      <w:r>
        <w:t xml:space="preserve">18.06.2024 № 2669 "Об установлении </w:t>
      </w:r>
      <w:r>
        <w:t xml:space="preserve">приаэродромной территории аэродрома </w:t>
      </w:r>
      <w:r>
        <w:t xml:space="preserve">экспериментальной авиации Нижний </w:t>
      </w:r>
      <w:r>
        <w:t xml:space="preserve">Новгород (Сормово) в составе с 1 по 6 </w:t>
      </w:r>
      <w:r>
        <w:t xml:space="preserve">подзону).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7.2.5.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38)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</w:t>
      </w:r>
      <w:r>
        <w:rPr>
          <w:highlight w:val="none"/>
        </w:rPr>
        <w:t xml:space="preserve">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157,15 м до 182,15 м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7.2.6.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12)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</w:t>
      </w:r>
      <w:r>
        <w:rPr>
          <w:highlight w:val="none"/>
        </w:rPr>
        <w:t xml:space="preserve"> наземных</w:t>
      </w:r>
      <w:r>
        <w:rPr>
          <w:highlight w:val="none"/>
        </w:rPr>
        <w:t xml:space="preserve"> объектов</w:t>
      </w:r>
      <w:r>
        <w:rPr>
          <w:highlight w:val="none"/>
        </w:rPr>
        <w:t xml:space="preserve"> средств</w:t>
      </w:r>
      <w:r>
        <w:rPr>
          <w:highlight w:val="none"/>
        </w:rPr>
        <w:t xml:space="preserve"> и</w:t>
      </w:r>
      <w:r>
        <w:rPr>
          <w:highlight w:val="none"/>
        </w:rPr>
        <w:t xml:space="preserve"> систем </w:t>
      </w:r>
      <w:r>
        <w:rPr>
          <w:highlight w:val="none"/>
        </w:rPr>
        <w:t xml:space="preserve">обслуживания воздушного движения, навигации, посадки и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</w:t>
      </w:r>
      <w:r>
        <w:rPr>
          <w:highlight w:val="none"/>
        </w:rPr>
        <w:t xml:space="preserve"> объектов,</w:t>
      </w:r>
      <w:r>
        <w:rPr>
          <w:highlight w:val="none"/>
        </w:rPr>
        <w:t xml:space="preserve"> превышающих</w:t>
      </w:r>
      <w:r>
        <w:rPr>
          <w:highlight w:val="none"/>
        </w:rPr>
        <w:t xml:space="preserve"> следующие </w:t>
      </w:r>
      <w:r>
        <w:rPr>
          <w:highlight w:val="none"/>
        </w:rPr>
        <w:t xml:space="preserve">абсолютные высотные ограничения: от 150,1 м до 154,5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7.2.7.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</w:t>
      </w:r>
      <w:r>
        <w:rPr>
          <w:highlight w:val="none"/>
        </w:rPr>
        <w:t xml:space="preserve"> наземных</w:t>
      </w:r>
      <w:r>
        <w:rPr>
          <w:highlight w:val="none"/>
        </w:rPr>
        <w:t xml:space="preserve"> объектов</w:t>
      </w:r>
      <w:r>
        <w:rPr>
          <w:highlight w:val="none"/>
        </w:rPr>
        <w:t xml:space="preserve"> средств</w:t>
      </w:r>
      <w:r>
        <w:rPr>
          <w:highlight w:val="none"/>
        </w:rPr>
        <w:t xml:space="preserve"> и</w:t>
      </w:r>
      <w:r>
        <w:rPr>
          <w:highlight w:val="none"/>
        </w:rPr>
        <w:t xml:space="preserve"> систем </w:t>
      </w:r>
      <w:r>
        <w:rPr>
          <w:highlight w:val="none"/>
        </w:rPr>
        <w:t xml:space="preserve">обслуживания воздушного движения, навигации, посадки и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 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7.2.8.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объекты, </w:t>
      </w:r>
      <w:r>
        <w:rPr>
          <w:highlight w:val="none"/>
        </w:rPr>
        <w:t xml:space="preserve">функционирование</w:t>
      </w:r>
      <w:r>
        <w:rPr>
          <w:highlight w:val="none"/>
        </w:rPr>
        <w:t xml:space="preserve"> которых</w:t>
      </w:r>
      <w:r>
        <w:rPr>
          <w:highlight w:val="none"/>
        </w:rPr>
        <w:t xml:space="preserve"> может</w:t>
      </w:r>
      <w:r>
        <w:rPr>
          <w:highlight w:val="none"/>
        </w:rPr>
        <w:t xml:space="preserve"> повлиять</w:t>
      </w:r>
      <w:r>
        <w:rPr>
          <w:highlight w:val="none"/>
        </w:rPr>
        <w:t xml:space="preserve">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 </w:t>
      </w:r>
      <w:r>
        <w:rPr>
          <w:highlight w:val="none"/>
        </w:rPr>
        <w:t xml:space="preserve">соответствии установленным в пункте 3 настоящей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3.</w:t>
      </w:r>
      <w:r>
        <w:rPr>
          <w:highlight w:val="none"/>
        </w:rPr>
        <w:t xml:space="preserve"> Максимальные</w:t>
      </w:r>
      <w:r>
        <w:rPr>
          <w:highlight w:val="none"/>
        </w:rPr>
        <w:t xml:space="preserve"> радиусы</w:t>
      </w:r>
      <w:r>
        <w:rPr>
          <w:highlight w:val="none"/>
        </w:rPr>
        <w:t xml:space="preserve"> зон</w:t>
      </w:r>
      <w:r>
        <w:rPr>
          <w:highlight w:val="none"/>
        </w:rPr>
        <w:t xml:space="preserve"> поражения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4.</w:t>
      </w:r>
      <w:r>
        <w:rPr>
          <w:highlight w:val="none"/>
        </w:rPr>
        <w:t xml:space="preserve"> При</w:t>
      </w:r>
      <w:r>
        <w:rPr>
          <w:highlight w:val="none"/>
        </w:rPr>
        <w:t xml:space="preserve"> невозможности соблюдения</w:t>
      </w:r>
      <w:r>
        <w:rPr>
          <w:highlight w:val="none"/>
        </w:rPr>
        <w:t xml:space="preserve">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7.2.9.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</w:t>
      </w:r>
      <w:r>
        <w:rPr>
          <w:highlight w:val="none"/>
        </w:rPr>
        <w:t xml:space="preserve"> на</w:t>
      </w:r>
      <w:r>
        <w:rPr>
          <w:highlight w:val="none"/>
        </w:rPr>
        <w:t xml:space="preserve"> предмет</w:t>
      </w:r>
      <w:r>
        <w:rPr>
          <w:highlight w:val="none"/>
        </w:rPr>
        <w:t xml:space="preserve"> отсутствия</w:t>
      </w:r>
      <w:r>
        <w:rPr>
          <w:highlight w:val="none"/>
        </w:rPr>
        <w:t xml:space="preserve"> 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7.2.10. 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установленная в отношении </w:t>
      </w:r>
      <w:r>
        <w:rPr>
          <w:highlight w:val="none"/>
        </w:rPr>
        <w:t xml:space="preserve">территорий</w:t>
      </w:r>
      <w:r>
        <w:rPr>
          <w:highlight w:val="none"/>
        </w:rPr>
        <w:t xml:space="preserve"> г.Н.Новгород </w:t>
      </w:r>
      <w:r>
        <w:rPr>
          <w:highlight w:val="none"/>
        </w:rPr>
        <w:t xml:space="preserve">городского округа Нижний </w:t>
      </w:r>
      <w:r>
        <w:rPr>
          <w:highlight w:val="none"/>
        </w:rPr>
        <w:t xml:space="preserve">Новгород</w:t>
      </w:r>
      <w:r>
        <w:rPr>
          <w:highlight w:val="none"/>
        </w:rPr>
        <w:t xml:space="preserve"> Нижегородской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 </w:t>
      </w:r>
      <w:r>
        <w:rPr>
          <w:highlight w:val="none"/>
        </w:rPr>
        <w:t xml:space="preserve">водохранилище),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половодьях и паводках 1% </w:t>
      </w:r>
      <w:r>
        <w:rPr>
          <w:highlight w:val="none"/>
        </w:rPr>
        <w:t xml:space="preserve">обеспеченности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учетом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затапливаемых </w:t>
      </w:r>
      <w:r>
        <w:rPr>
          <w:highlight w:val="none"/>
        </w:rPr>
        <w:t xml:space="preserve">территорий за предыдущие </w:t>
      </w:r>
      <w:r>
        <w:rPr>
          <w:highlight w:val="none"/>
        </w:rPr>
        <w:t xml:space="preserve">100</w:t>
      </w:r>
      <w:r>
        <w:rPr>
          <w:highlight w:val="none"/>
        </w:rPr>
        <w:t xml:space="preserve"> лет</w:t>
      </w:r>
      <w:r>
        <w:rPr>
          <w:highlight w:val="none"/>
        </w:rPr>
        <w:t xml:space="preserve"> наблюдений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 )(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18.06.2024 №</w:t>
      </w:r>
      <w:r>
        <w:rPr>
          <w:highlight w:val="none"/>
        </w:rPr>
        <w:t xml:space="preserve"> 279 «Об установлении зоны </w:t>
      </w:r>
      <w:r>
        <w:rPr>
          <w:highlight w:val="none"/>
        </w:rPr>
        <w:t xml:space="preserve">подтопления рекой Волга (Чебоксарское </w:t>
      </w:r>
      <w:r>
        <w:rPr>
          <w:highlight w:val="none"/>
        </w:rPr>
        <w:t xml:space="preserve">водохранилище) территории города </w:t>
      </w:r>
      <w:r>
        <w:rPr>
          <w:highlight w:val="none"/>
        </w:rPr>
        <w:t xml:space="preserve">Нижний Новгород Нижегородской области»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</w:t>
      </w:r>
      <w:r>
        <w:rPr>
          <w:highlight w:val="none"/>
        </w:rPr>
        <w:t xml:space="preserve"> сооружениями</w:t>
      </w:r>
      <w:r>
        <w:rPr>
          <w:highlight w:val="none"/>
        </w:rPr>
        <w:t xml:space="preserve"> и</w:t>
      </w:r>
      <w:r>
        <w:rPr>
          <w:highlight w:val="none"/>
        </w:rPr>
        <w:t xml:space="preserve"> (или)</w:t>
      </w:r>
      <w:r>
        <w:rPr>
          <w:highlight w:val="none"/>
        </w:rPr>
        <w:t xml:space="preserve"> методами </w:t>
      </w:r>
      <w:r>
        <w:rPr>
          <w:highlight w:val="none"/>
        </w:rPr>
        <w:t xml:space="preserve">инженерной защиты территорий и объектов от негативного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</w:t>
      </w:r>
      <w:r>
        <w:rPr>
          <w:highlight w:val="none"/>
        </w:rPr>
        <w:t xml:space="preserve"> взрывчатых,</w:t>
      </w:r>
      <w:r>
        <w:rPr>
          <w:highlight w:val="none"/>
        </w:rPr>
        <w:t xml:space="preserve"> токсичных,</w:t>
      </w:r>
      <w:r>
        <w:rPr>
          <w:highlight w:val="none"/>
        </w:rPr>
        <w:t xml:space="preserve"> отравляющих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 </w:t>
      </w:r>
      <w:r>
        <w:rPr>
          <w:highlight w:val="none"/>
        </w:rPr>
        <w:t xml:space="preserve">территорий города Нижнего Новгорода» № 88/01-13 от </w:t>
      </w:r>
      <w:r>
        <w:rPr>
          <w:highlight w:val="none"/>
        </w:rPr>
        <w:t xml:space="preserve">21.08.2024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</w:t>
      </w:r>
      <w:r>
        <w:rPr>
          <w:color w:val="000000"/>
        </w:rPr>
        <w:t xml:space="preserve">ние:</w:t>
      </w:r>
      <w:r>
        <w:t xml:space="preserve"> </w:t>
      </w:r>
      <w:r>
        <w:t xml:space="preserve">Российская Федерация, Нижегородская область, г. Нижний Новгород, Автозаводский район, п. Новое Доскино, ул. 33-я линия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</w:t>
      </w:r>
      <w:r>
        <w:rPr>
          <w:color w:val="000000"/>
        </w:rPr>
        <w:t xml:space="preserve">мер: 52:18:0040003:119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</w:t>
      </w:r>
      <w:r>
        <w:rPr>
          <w:color w:val="000000"/>
        </w:rPr>
        <w:t xml:space="preserve">ощадь земельного участка: 529</w:t>
      </w:r>
      <w:r>
        <w:rPr>
          <w:color w:val="000000"/>
        </w:rPr>
        <w:t xml:space="preserve">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75</cp:revision>
  <dcterms:created xsi:type="dcterms:W3CDTF">2020-03-02T11:26:00Z</dcterms:created>
  <dcterms:modified xsi:type="dcterms:W3CDTF">2025-10-20T07:02:31Z</dcterms:modified>
  <cp:version>786432</cp:version>
</cp:coreProperties>
</file>