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  <w:r/>
    </w:p>
    <w:p>
      <w:pPr>
        <w:pStyle w:val="872"/>
        <w:jc w:val="center"/>
        <w:rPr>
          <w:highlight w:val="none"/>
        </w:rPr>
      </w:pPr>
      <w:r>
        <w:t xml:space="preserve">ДОГОВОР</w:t>
      </w:r>
      <w:r>
        <w:rPr>
          <w:highlight w:val="none"/>
        </w:rPr>
      </w:r>
    </w:p>
    <w:p>
      <w:pPr>
        <w:pStyle w:val="872"/>
        <w:jc w:val="center"/>
      </w:pPr>
      <w:r>
        <w:t xml:space="preserve">АРЕНДЫ ЗЕМЕЛЬНОГО УЧАСТКА</w:t>
      </w:r>
      <w:r/>
    </w:p>
    <w:p>
      <w:pPr>
        <w:pStyle w:val="872"/>
        <w:jc w:val="center"/>
      </w:pPr>
      <w:r>
        <w:t xml:space="preserve">№___________ </w:t>
      </w:r>
      <w:r/>
    </w:p>
    <w:p>
      <w:pPr>
        <w:pStyle w:val="872"/>
        <w:ind w:left="2552" w:hanging="2552"/>
        <w:jc w:val="both"/>
        <w:tabs>
          <w:tab w:val="left" w:pos="2552" w:leader="none"/>
        </w:tabs>
      </w:pPr>
      <w:r/>
      <w:r/>
    </w:p>
    <w:p>
      <w:pPr>
        <w:pStyle w:val="872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72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72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72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72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72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72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72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</w:t>
      </w:r>
      <w:r>
        <w:t xml:space="preserve">а Нижнего Новгорода от 22.10.2025 № 13356 «О проведении аукциона в электронной форме на право заключения договора аренды земель</w:t>
      </w:r>
      <w:r>
        <w:t xml:space="preserve">ного участка, расположенного по адресу: Нижегородская область, г. Нижний Новгород, Автозаводский район, п. Новое Доскино, ул. 32-я линия, кадастровый номер 52:18:0040003:117, с видом разрешенного использования для индивидуального жилищного 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72"/>
        <w:jc w:val="both"/>
        <w:tabs>
          <w:tab w:val="left" w:pos="-142" w:leader="none"/>
        </w:tabs>
      </w:pPr>
      <w:r/>
      <w:r/>
    </w:p>
    <w:p>
      <w:pPr>
        <w:pStyle w:val="872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72"/>
        <w:ind w:firstLine="567"/>
        <w:jc w:val="both"/>
        <w:tabs>
          <w:tab w:val="left" w:pos="-180" w:leader="none"/>
        </w:tabs>
      </w:pPr>
      <w:r/>
      <w:r/>
    </w:p>
    <w:p>
      <w:pPr>
        <w:pStyle w:val="872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72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72"/>
        <w:ind w:firstLine="567"/>
        <w:jc w:val="both"/>
        <w:tabs>
          <w:tab w:val="left" w:pos="142" w:leader="none"/>
        </w:tabs>
      </w:pPr>
      <w:r>
        <w:t xml:space="preserve">площадь – </w:t>
      </w:r>
      <w:r>
        <w:t xml:space="preserve">564</w:t>
      </w:r>
      <w:r>
        <w:t xml:space="preserve"> кв.м.,</w:t>
      </w:r>
      <w:r/>
    </w:p>
    <w:p>
      <w:pPr>
        <w:pStyle w:val="872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72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rPr>
          <w:shd w:val="clear" w:color="auto" w:fill="ffffff"/>
        </w:rPr>
        <w:t xml:space="preserve">Российская Федерация, Нижегородская область, г. Нижний Новгород, Автозаводский район, п. Новое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Доскино, ул. 32-я линия</w:t>
      </w:r>
      <w:r>
        <w:t xml:space="preserve">,</w:t>
      </w:r>
      <w:r/>
    </w:p>
    <w:p>
      <w:pPr>
        <w:pStyle w:val="872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52:18:0040003:117</w:t>
      </w:r>
      <w:r>
        <w:t xml:space="preserve"> (далее - Участок).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72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72"/>
        <w:tabs>
          <w:tab w:val="left" w:pos="-142" w:leader="none"/>
        </w:tabs>
      </w:pPr>
      <w:r/>
      <w:r/>
    </w:p>
    <w:p>
      <w:pPr>
        <w:pStyle w:val="872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72"/>
        <w:ind w:firstLine="540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</w:t>
      </w:r>
      <w:r>
        <w:t xml:space="preserve">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72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72"/>
        <w:jc w:val="both"/>
        <w:tabs>
          <w:tab w:val="left" w:pos="-142" w:leader="none"/>
        </w:tabs>
      </w:pPr>
      <w:r>
        <w:tab/>
      </w:r>
      <w:r/>
    </w:p>
    <w:p>
      <w:pPr>
        <w:pStyle w:val="872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72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72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72"/>
        <w:ind w:firstLine="540"/>
        <w:jc w:val="both"/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72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72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72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72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72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72"/>
        <w:ind w:firstLine="567"/>
        <w:jc w:val="both"/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72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72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72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72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72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72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72"/>
        <w:jc w:val="both"/>
        <w:tabs>
          <w:tab w:val="left" w:pos="-142" w:leader="none"/>
        </w:tabs>
      </w:pPr>
      <w:r/>
      <w:r/>
    </w:p>
    <w:p>
      <w:pPr>
        <w:pStyle w:val="872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2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2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2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72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2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2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72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72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72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72"/>
        <w:ind w:firstLine="567"/>
        <w:jc w:val="both"/>
      </w:pPr>
      <w:r/>
      <w:r/>
    </w:p>
    <w:p>
      <w:pPr>
        <w:pStyle w:val="872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72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72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72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72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72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72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72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72"/>
        <w:ind w:firstLine="567"/>
        <w:jc w:val="both"/>
      </w:pPr>
      <w:r>
        <w:t xml:space="preserve">- нарушения  условий Договора;</w:t>
      </w:r>
      <w:r/>
    </w:p>
    <w:p>
      <w:pPr>
        <w:pStyle w:val="872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72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72"/>
        <w:ind w:firstLine="567"/>
        <w:jc w:val="both"/>
      </w:pPr>
      <w:r/>
      <w:r/>
    </w:p>
    <w:p>
      <w:pPr>
        <w:pStyle w:val="872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72"/>
        <w:ind w:firstLine="567"/>
        <w:jc w:val="both"/>
      </w:pPr>
      <w:r/>
      <w:r/>
    </w:p>
    <w:p>
      <w:pPr>
        <w:pStyle w:val="872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72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/>
    </w:p>
    <w:p>
      <w:pPr>
        <w:pStyle w:val="872"/>
        <w:ind w:firstLine="567"/>
        <w:jc w:val="both"/>
        <w:rPr>
          <w:highlight w:val="none"/>
        </w:rPr>
      </w:pPr>
      <w:r>
        <w:t xml:space="preserve">7.2.1. Полностью в границах п</w:t>
      </w:r>
      <w:r>
        <w:t xml:space="preserve">риаэродромной территории </w:t>
      </w:r>
      <w:r>
        <w:t xml:space="preserve">аэродрома гражданской </w:t>
      </w:r>
      <w:r>
        <w:t xml:space="preserve">авиации Нижний Новгород </w:t>
      </w:r>
      <w:r>
        <w:t xml:space="preserve">(Стригино)(реестровый номер: </w:t>
      </w:r>
      <w:r>
        <w:t xml:space="preserve">52:00-6.1079): подзона 3 </w:t>
      </w:r>
      <w:r>
        <w:t xml:space="preserve">(реестровый номер: </w:t>
      </w:r>
      <w:r>
        <w:t xml:space="preserve">52:00-6.1076) </w:t>
      </w:r>
      <w:r>
        <w:t xml:space="preserve">(сектор 21)</w:t>
      </w:r>
      <w:r>
        <w:t xml:space="preserve"> (</w:t>
      </w:r>
      <w:r>
        <w:t xml:space="preserve">Приказ Федерального агентства воздушного </w:t>
      </w:r>
      <w:r>
        <w:t xml:space="preserve">транспорта (Росавиация) от 24.11.2021 № </w:t>
      </w:r>
      <w:r>
        <w:t xml:space="preserve">878-п "Об установлении приаэродромной </w:t>
      </w:r>
      <w:r>
        <w:t xml:space="preserve">территории аэродрома </w:t>
      </w:r>
      <w:r>
        <w:t xml:space="preserve">Нижний Новгород (Стригино)", </w:t>
      </w:r>
      <w:r>
        <w:t xml:space="preserve">Приказ Федерального агентства воздушного </w:t>
      </w:r>
      <w:r>
        <w:t xml:space="preserve">транспорта (Росавиация) от 26.10.2023 № </w:t>
      </w:r>
      <w:r>
        <w:t xml:space="preserve">954-П "Об установлении приаэродромной </w:t>
      </w:r>
      <w:r>
        <w:t xml:space="preserve">территории аэродрома гражданской </w:t>
      </w:r>
      <w:r>
        <w:t xml:space="preserve">авиации Нижний Новгород </w:t>
      </w:r>
      <w:r>
        <w:t xml:space="preserve">(Стригино)" (с изменениями)</w:t>
      </w:r>
      <w:r>
        <w:t xml:space="preserve">, </w:t>
      </w:r>
      <w:r>
        <w:t xml:space="preserve">Приказ Федерального агентства воздушного </w:t>
      </w:r>
      <w:r>
        <w:t xml:space="preserve">транспорта (Росавиация) от 22.11.2023 № </w:t>
      </w:r>
      <w:r>
        <w:t xml:space="preserve">1052-П "О признании утратившим силу </w:t>
      </w:r>
      <w:r>
        <w:t xml:space="preserve">приказа Федерального агентства воздушного </w:t>
      </w:r>
      <w:r>
        <w:t xml:space="preserve">транспорта от 24 ноября 2021 г. № 878-П"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1)</w:t>
      </w:r>
      <w:r>
        <w:rPr>
          <w:highlight w:val="none"/>
        </w:rPr>
        <w:t xml:space="preserve"> В границах третьей подзоны запрещается </w:t>
      </w:r>
      <w:r>
        <w:rPr>
          <w:highlight w:val="none"/>
        </w:rPr>
        <w:t xml:space="preserve">размещать объекты, высота которых превышает </w:t>
      </w:r>
      <w:r>
        <w:rPr>
          <w:highlight w:val="none"/>
        </w:rPr>
        <w:t xml:space="preserve">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2)</w:t>
      </w:r>
      <w:r>
        <w:rPr>
          <w:highlight w:val="none"/>
        </w:rPr>
        <w:t xml:space="preserve"> Строительство и реконструкция зданий, </w:t>
      </w:r>
      <w:r>
        <w:rPr>
          <w:highlight w:val="none"/>
        </w:rPr>
        <w:t xml:space="preserve">сооружений в границах третьей подзоны разрешается </w:t>
      </w:r>
      <w:r>
        <w:rPr>
          <w:highlight w:val="none"/>
        </w:rPr>
        <w:t xml:space="preserve">только после определения максимально допустимой </w:t>
      </w:r>
      <w:r>
        <w:rPr>
          <w:highlight w:val="none"/>
        </w:rPr>
        <w:t xml:space="preserve">высоты здания, сооружения в зависимости от </w:t>
      </w:r>
      <w:r>
        <w:rPr>
          <w:highlight w:val="none"/>
        </w:rPr>
        <w:t xml:space="preserve">местоположения путем проведения соответствующих </w:t>
      </w:r>
      <w:r>
        <w:rPr>
          <w:highlight w:val="none"/>
        </w:rPr>
        <w:t xml:space="preserve">расчетов в соответствии с требованиями ФАП-262 с учетом </w:t>
      </w:r>
      <w:r>
        <w:rPr>
          <w:highlight w:val="none"/>
        </w:rPr>
        <w:t xml:space="preserve">следующих абсолютных высот ограничения объектов в </w:t>
      </w:r>
      <w:r>
        <w:rPr>
          <w:highlight w:val="none"/>
        </w:rPr>
        <w:t xml:space="preserve">Балтийской системе высот </w:t>
      </w:r>
      <w:r>
        <w:rPr>
          <w:highlight w:val="none"/>
        </w:rPr>
        <w:t xml:space="preserve">1977 года: от 135,00 м до 140,00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7.2.2.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подзона </w:t>
      </w:r>
      <w:r>
        <w:rPr>
          <w:highlight w:val="none"/>
        </w:rPr>
        <w:t xml:space="preserve">4 (реестровый номер: </w:t>
      </w:r>
      <w:r>
        <w:rPr>
          <w:highlight w:val="none"/>
        </w:rPr>
        <w:t xml:space="preserve">52:00-6.1083) </w:t>
      </w:r>
      <w:r>
        <w:rPr>
          <w:highlight w:val="none"/>
        </w:rPr>
        <w:t xml:space="preserve">(сектор 29)</w:t>
      </w:r>
      <w:r>
        <w:rPr>
          <w:highlight w:val="none"/>
        </w:rPr>
        <w:t xml:space="preserve"> </w:t>
      </w:r>
      <w:r>
        <w:t xml:space="preserve">(</w:t>
      </w:r>
      <w:r>
        <w:t xml:space="preserve">Приказ Федерального агентства воздушного </w:t>
      </w:r>
      <w:r>
        <w:t xml:space="preserve">транспорта (Росавиация) от 24.11.2021 № </w:t>
      </w:r>
      <w:r>
        <w:t xml:space="preserve">878-п "Об установлении приаэродромной </w:t>
      </w:r>
      <w:r>
        <w:t xml:space="preserve">территории аэродрома </w:t>
      </w:r>
      <w:r>
        <w:t xml:space="preserve">Нижний Новгород (Стригино)", </w:t>
      </w:r>
      <w:r>
        <w:t xml:space="preserve">Приказ Федерального агентства воздушного </w:t>
      </w:r>
      <w:r>
        <w:t xml:space="preserve">транспорта (Росавиация) от 26.10.2023 № </w:t>
      </w:r>
      <w:r>
        <w:t xml:space="preserve">954-П "Об установлении приаэродромной </w:t>
      </w:r>
      <w:r>
        <w:t xml:space="preserve">территории аэродрома гражданской </w:t>
      </w:r>
      <w:r>
        <w:t xml:space="preserve">авиации Нижний Новгород </w:t>
      </w:r>
      <w:r>
        <w:t xml:space="preserve">(Стригино)" (с изменениями)</w:t>
      </w:r>
      <w:r>
        <w:t xml:space="preserve">, </w:t>
      </w:r>
      <w:r>
        <w:t xml:space="preserve">Приказ Федерального агентства воздушного </w:t>
      </w:r>
      <w:r>
        <w:t xml:space="preserve">транспорта (Росавиация) от 22.11.2023 № </w:t>
      </w:r>
      <w:r>
        <w:t xml:space="preserve">1052-П "О признании утратившим силу </w:t>
      </w:r>
      <w:r>
        <w:t xml:space="preserve">приказа Федерального агентства воздушного </w:t>
      </w:r>
      <w:r>
        <w:t xml:space="preserve">транспорта от 24 ноября 2021 г. № 878-П"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1)</w:t>
      </w:r>
      <w:r>
        <w:rPr>
          <w:highlight w:val="none"/>
        </w:rPr>
        <w:t xml:space="preserve">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 и </w:t>
      </w:r>
      <w:r>
        <w:rPr>
          <w:highlight w:val="none"/>
        </w:rPr>
        <w:t xml:space="preserve">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2)</w:t>
      </w:r>
      <w:r>
        <w:rPr>
          <w:highlight w:val="none"/>
        </w:rPr>
        <w:t xml:space="preserve">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 </w:t>
      </w:r>
      <w:r>
        <w:rPr>
          <w:highlight w:val="none"/>
        </w:rPr>
        <w:t xml:space="preserve">следующие абсолютные высотные ограничения: от 180,00 </w:t>
      </w:r>
      <w:r>
        <w:rPr>
          <w:highlight w:val="none"/>
        </w:rPr>
        <w:t xml:space="preserve">м до 185,00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7.2.3.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подзона </w:t>
      </w:r>
      <w:r>
        <w:rPr>
          <w:highlight w:val="none"/>
        </w:rPr>
        <w:t xml:space="preserve">6 (реестровый номер: </w:t>
      </w:r>
      <w:r>
        <w:rPr>
          <w:highlight w:val="none"/>
        </w:rPr>
        <w:t xml:space="preserve">52:00-6.1078) </w:t>
      </w:r>
      <w:r>
        <w:t xml:space="preserve">(</w:t>
      </w:r>
      <w:r>
        <w:t xml:space="preserve">Приказ Федерального агентства воздушного </w:t>
      </w:r>
      <w:r>
        <w:t xml:space="preserve">транспорта (Росавиация) от 24.11.2021 № </w:t>
      </w:r>
      <w:r>
        <w:t xml:space="preserve">878-п "Об установлении приаэродромной </w:t>
      </w:r>
      <w:r>
        <w:t xml:space="preserve">территории аэродрома </w:t>
      </w:r>
      <w:r>
        <w:t xml:space="preserve">Нижний Новгород (Стригино)", </w:t>
      </w:r>
      <w:r>
        <w:t xml:space="preserve">Приказ Федерального агентства воздушного </w:t>
      </w:r>
      <w:r>
        <w:t xml:space="preserve">транспорта (Росавиация) от 26.10.2023 № </w:t>
      </w:r>
      <w:r>
        <w:t xml:space="preserve">954-П "Об установлении приаэродромной </w:t>
      </w:r>
      <w:r>
        <w:t xml:space="preserve">территории аэродрома гражданской </w:t>
      </w:r>
      <w:r>
        <w:t xml:space="preserve">авиации Нижний Новгород </w:t>
      </w:r>
      <w:r>
        <w:t xml:space="preserve">(Стригино)" (с изменениями)</w:t>
      </w:r>
      <w:r>
        <w:t xml:space="preserve">, </w:t>
      </w:r>
      <w:r>
        <w:t xml:space="preserve">Приказ Федерального агентства воздушного </w:t>
      </w:r>
      <w:r>
        <w:t xml:space="preserve">транспорта (Росавиация) от 22.11.2023 № </w:t>
      </w:r>
      <w:r>
        <w:t xml:space="preserve">1052-П "О признании утратившим силу </w:t>
      </w:r>
      <w:r>
        <w:t xml:space="preserve">приказа Федерального агентства воздушного </w:t>
      </w:r>
      <w:r>
        <w:t xml:space="preserve">транспорта от 24 ноября 2021 г. № 878-П"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7.2.4.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экспериментальной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(Сормово)</w:t>
      </w:r>
      <w:r>
        <w:rPr>
          <w:highlight w:val="none"/>
        </w:rPr>
        <w:t xml:space="preserve"> (подзона</w:t>
      </w:r>
      <w:r>
        <w:rPr>
          <w:highlight w:val="none"/>
        </w:rPr>
        <w:t xml:space="preserve"> 3, </w:t>
      </w:r>
      <w:r>
        <w:rPr>
          <w:highlight w:val="none"/>
        </w:rPr>
        <w:t xml:space="preserve">коническая </w:t>
      </w:r>
      <w:r>
        <w:rPr>
          <w:highlight w:val="none"/>
        </w:rPr>
        <w:t xml:space="preserve">поверхность 3 сектор)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1.</w:t>
      </w:r>
      <w:r>
        <w:rPr>
          <w:highlight w:val="none"/>
        </w:rPr>
        <w:t xml:space="preserve">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2.</w:t>
      </w:r>
      <w:r>
        <w:rPr>
          <w:highlight w:val="none"/>
        </w:rPr>
        <w:t xml:space="preserve"> Строительство</w:t>
      </w:r>
      <w:r>
        <w:rPr>
          <w:highlight w:val="none"/>
        </w:rPr>
        <w:t xml:space="preserve"> и</w:t>
      </w:r>
      <w:r>
        <w:rPr>
          <w:highlight w:val="none"/>
        </w:rPr>
        <w:t xml:space="preserve"> реконструкция</w:t>
      </w:r>
      <w:r>
        <w:rPr>
          <w:highlight w:val="none"/>
        </w:rPr>
        <w:t xml:space="preserve"> зданий </w:t>
      </w:r>
      <w:r>
        <w:rPr>
          <w:highlight w:val="none"/>
        </w:rPr>
        <w:t xml:space="preserve">(сооружений)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разрешается после определения максимально допустимой </w:t>
      </w:r>
      <w:r>
        <w:rPr>
          <w:highlight w:val="none"/>
        </w:rPr>
        <w:t xml:space="preserve">высоты здания (сооружения)</w:t>
      </w:r>
      <w:r>
        <w:rPr>
          <w:highlight w:val="none"/>
        </w:rPr>
        <w:t xml:space="preserve"> в зависимости</w:t>
      </w:r>
      <w:r>
        <w:rPr>
          <w:highlight w:val="none"/>
        </w:rPr>
        <w:t xml:space="preserve"> от </w:t>
      </w:r>
      <w:r>
        <w:rPr>
          <w:highlight w:val="none"/>
        </w:rPr>
        <w:t xml:space="preserve">местоположения путем проведения соответствующих </w:t>
      </w:r>
      <w:r>
        <w:rPr>
          <w:highlight w:val="none"/>
        </w:rPr>
        <w:t xml:space="preserve">расчетов в 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</w:t>
      </w:r>
      <w:r>
        <w:rPr>
          <w:highlight w:val="none"/>
        </w:rPr>
        <w:t xml:space="preserve"> государственных</w:t>
      </w:r>
      <w:r>
        <w:rPr>
          <w:highlight w:val="none"/>
        </w:rPr>
        <w:t xml:space="preserve"> систем</w:t>
      </w:r>
      <w:r>
        <w:rPr>
          <w:highlight w:val="none"/>
        </w:rPr>
        <w:t xml:space="preserve"> 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</w:t>
      </w:r>
      <w:r>
        <w:rPr>
          <w:highlight w:val="none"/>
        </w:rPr>
        <w:t xml:space="preserve"> системы"</w:t>
      </w:r>
      <w:r>
        <w:rPr>
          <w:highlight w:val="none"/>
        </w:rPr>
        <w:t xml:space="preserve"> абсолютная</w:t>
      </w:r>
      <w:r>
        <w:rPr>
          <w:highlight w:val="none"/>
        </w:rPr>
        <w:t xml:space="preserve"> высота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3.</w:t>
      </w:r>
      <w:r>
        <w:rPr>
          <w:highlight w:val="none"/>
        </w:rPr>
        <w:t xml:space="preserve"> Абсолютная максимальная высота размещаемых</w:t>
      </w:r>
      <w:r>
        <w:rPr>
          <w:highlight w:val="none"/>
        </w:rPr>
        <w:t xml:space="preserve">объектов в пределах от 132,15 м до 232,15 м.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4.</w:t>
      </w:r>
      <w:r>
        <w:rPr>
          <w:highlight w:val="none"/>
        </w:rPr>
        <w:t xml:space="preserve">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 в </w:t>
      </w:r>
      <w:r>
        <w:rPr>
          <w:highlight w:val="none"/>
        </w:rPr>
        <w:t xml:space="preserve">соответствии с законодательством Российской Федерации.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5.</w:t>
      </w:r>
      <w:r>
        <w:rPr>
          <w:highlight w:val="none"/>
        </w:rPr>
        <w:t xml:space="preserve"> При наложении секторов третьей и четвертой </w:t>
      </w:r>
      <w:r>
        <w:rPr>
          <w:highlight w:val="none"/>
        </w:rPr>
        <w:t xml:space="preserve">подзон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7.2.5.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экспериментальной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(Сормово) </w:t>
      </w:r>
      <w:r>
        <w:rPr>
          <w:highlight w:val="none"/>
        </w:rPr>
        <w:t xml:space="preserve">(подзона 3, сектор 38)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1.</w:t>
      </w:r>
      <w:r>
        <w:rPr>
          <w:highlight w:val="none"/>
        </w:rPr>
        <w:t xml:space="preserve">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2.</w:t>
      </w:r>
      <w:r>
        <w:rPr>
          <w:highlight w:val="none"/>
        </w:rPr>
        <w:t xml:space="preserve"> Строительство и реконструкция зданий </w:t>
      </w:r>
      <w:r>
        <w:rPr>
          <w:highlight w:val="none"/>
        </w:rPr>
        <w:t xml:space="preserve">(сооружений)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разрешается после определения максимально допустимой </w:t>
      </w:r>
      <w:r>
        <w:rPr>
          <w:highlight w:val="none"/>
        </w:rPr>
        <w:t xml:space="preserve">высоты здания (сооружения) в зависимости от </w:t>
      </w:r>
      <w:r>
        <w:rPr>
          <w:highlight w:val="none"/>
        </w:rPr>
        <w:t xml:space="preserve">местоположения путем проведения соответствующих </w:t>
      </w:r>
      <w:r>
        <w:rPr>
          <w:highlight w:val="none"/>
        </w:rPr>
        <w:t xml:space="preserve">расчетов в 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 государственных систем 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 системы" абсолютная 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3.</w:t>
      </w:r>
      <w:r>
        <w:rPr>
          <w:highlight w:val="none"/>
        </w:rPr>
        <w:t xml:space="preserve"> Абсолютная максимальная высота размещаемых </w:t>
      </w:r>
      <w:r>
        <w:rPr>
          <w:highlight w:val="none"/>
        </w:rPr>
        <w:t xml:space="preserve">объектов в пределах от 157,15 м до 182,15 м 4. В границах </w:t>
      </w:r>
      <w:r>
        <w:rPr>
          <w:highlight w:val="none"/>
        </w:rPr>
        <w:t xml:space="preserve">третьей подзоны строительство, реконструкция объектов </w:t>
      </w:r>
      <w:r>
        <w:rPr>
          <w:highlight w:val="none"/>
        </w:rPr>
        <w:t xml:space="preserve">капитального строительства на основании разрешения на </w:t>
      </w:r>
      <w:r>
        <w:rPr>
          <w:highlight w:val="none"/>
        </w:rPr>
        <w:t xml:space="preserve">строительство осуществляется </w:t>
      </w:r>
      <w:r>
        <w:rPr>
          <w:highlight w:val="none"/>
        </w:rPr>
        <w:t xml:space="preserve">в соответствии с законодательством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5.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7.2.6. Частично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экспериментальной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(Сормово) </w:t>
      </w:r>
      <w:r>
        <w:rPr>
          <w:highlight w:val="none"/>
        </w:rPr>
        <w:t xml:space="preserve">(подзона 4, сектор 12)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1.</w:t>
      </w:r>
      <w:r>
        <w:rPr>
          <w:highlight w:val="none"/>
        </w:rPr>
        <w:t xml:space="preserve">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 </w:t>
      </w:r>
      <w:r>
        <w:rPr>
          <w:highlight w:val="none"/>
        </w:rPr>
        <w:t xml:space="preserve">работе наземных объектов средств и систем обслуживания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 и </w:t>
      </w:r>
      <w:r>
        <w:rPr>
          <w:highlight w:val="none"/>
        </w:rPr>
        <w:t xml:space="preserve">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2.</w:t>
      </w:r>
      <w:r>
        <w:rPr>
          <w:highlight w:val="none"/>
        </w:rPr>
        <w:t xml:space="preserve">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 объектов, превышающих следующие </w:t>
      </w:r>
      <w:r>
        <w:rPr>
          <w:highlight w:val="none"/>
        </w:rPr>
        <w:t xml:space="preserve">абсолютные высотные ограничения: от 150,1 м до 154,5 м.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7.2.7. Частично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экспериментальной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(Сормово) </w:t>
      </w:r>
      <w:r>
        <w:rPr>
          <w:highlight w:val="none"/>
        </w:rPr>
        <w:t xml:space="preserve">(подзона 4, сектор 13)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1.</w:t>
      </w:r>
      <w:r>
        <w:rPr>
          <w:highlight w:val="none"/>
        </w:rPr>
        <w:t xml:space="preserve">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 </w:t>
      </w:r>
      <w:r>
        <w:rPr>
          <w:highlight w:val="none"/>
        </w:rPr>
        <w:t xml:space="preserve">работе наземных объектов средств и систем обслуживания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 и </w:t>
      </w:r>
      <w:r>
        <w:rPr>
          <w:highlight w:val="none"/>
        </w:rPr>
        <w:t xml:space="preserve">расположенных вне первой подзоны.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2.</w:t>
      </w:r>
      <w:r>
        <w:rPr>
          <w:highlight w:val="none"/>
        </w:rPr>
        <w:t xml:space="preserve"> В</w:t>
      </w:r>
      <w:r>
        <w:rPr>
          <w:highlight w:val="none"/>
        </w:rPr>
        <w:t xml:space="preserve"> границах</w:t>
      </w:r>
      <w:r>
        <w:rPr>
          <w:highlight w:val="none"/>
        </w:rPr>
        <w:t xml:space="preserve"> четвертой подзоны </w:t>
      </w:r>
      <w:r>
        <w:rPr>
          <w:highlight w:val="none"/>
        </w:rPr>
        <w:t xml:space="preserve">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 объектов, превышающих следующие </w:t>
      </w:r>
      <w:r>
        <w:rPr>
          <w:highlight w:val="none"/>
        </w:rPr>
        <w:t xml:space="preserve">абсолютные высотные ограничения: от 154,5 м до 158,8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7.2.8.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экспериментальной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(Сормово) </w:t>
      </w:r>
      <w:r>
        <w:rPr>
          <w:highlight w:val="none"/>
        </w:rPr>
        <w:t xml:space="preserve">(подзона 5)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1.</w:t>
      </w:r>
      <w:r>
        <w:rPr>
          <w:highlight w:val="none"/>
        </w:rPr>
        <w:t xml:space="preserve"> В границах пятой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опасные производственные </w:t>
      </w:r>
      <w:r>
        <w:rPr>
          <w:highlight w:val="none"/>
        </w:rPr>
        <w:t xml:space="preserve">объекты , функционирование которых может повлиять на </w:t>
      </w:r>
      <w:r>
        <w:rPr>
          <w:highlight w:val="none"/>
        </w:rPr>
        <w:t xml:space="preserve">безопасность полетов воздушных судов.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2.</w:t>
      </w:r>
      <w:r>
        <w:rPr>
          <w:highlight w:val="none"/>
        </w:rPr>
        <w:t xml:space="preserve"> В границах пятой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допускается эксплуатация, строительство, реконструкция, </w:t>
      </w:r>
      <w:r>
        <w:rPr>
          <w:highlight w:val="none"/>
        </w:rPr>
        <w:t xml:space="preserve">капитальный ремонт, техническое перевооружение, </w:t>
      </w:r>
      <w:r>
        <w:rPr>
          <w:highlight w:val="none"/>
        </w:rPr>
        <w:t xml:space="preserve">консервация (далее - размещение) опасных </w:t>
      </w:r>
      <w:r>
        <w:rPr>
          <w:highlight w:val="none"/>
        </w:rPr>
        <w:t xml:space="preserve">производственных объектов при их соответствии </w:t>
      </w:r>
      <w:r>
        <w:rPr>
          <w:highlight w:val="none"/>
        </w:rPr>
        <w:t xml:space="preserve">установленным в пункте 3 настоящей таблицы </w:t>
      </w:r>
      <w:r>
        <w:rPr>
          <w:highlight w:val="none"/>
        </w:rPr>
        <w:t xml:space="preserve">ограничениям.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3.</w:t>
      </w:r>
      <w:r>
        <w:rPr>
          <w:highlight w:val="none"/>
        </w:rPr>
        <w:t xml:space="preserve"> Максимальные радиусы зон поражения при </w:t>
      </w:r>
      <w:r>
        <w:rPr>
          <w:highlight w:val="none"/>
        </w:rPr>
        <w:t xml:space="preserve">происшествиях техногенного характера на опасных </w:t>
      </w:r>
      <w:r>
        <w:rPr>
          <w:highlight w:val="none"/>
        </w:rPr>
        <w:t xml:space="preserve">производственных объектах, находящихся в пятой подзоне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(Сормово), в которых размещение таких объектов </w:t>
      </w:r>
      <w:r>
        <w:rPr>
          <w:highlight w:val="none"/>
        </w:rPr>
        <w:t xml:space="preserve">возможно, не должны достигать: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по вертикали - высоты </w:t>
      </w:r>
      <w:r>
        <w:rPr>
          <w:highlight w:val="none"/>
        </w:rPr>
        <w:t xml:space="preserve">пролета воздушных судов (высота поверхности </w:t>
      </w:r>
      <w:r>
        <w:rPr>
          <w:highlight w:val="none"/>
        </w:rPr>
        <w:t xml:space="preserve">ограничения препятствий в третьей подзоне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(Сормово);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по горизонтали - внешних границ первой и </w:t>
      </w:r>
      <w:r>
        <w:rPr>
          <w:highlight w:val="none"/>
        </w:rPr>
        <w:t xml:space="preserve">второй подзон приаэродромной территории аэродрома </w:t>
      </w:r>
      <w:r>
        <w:rPr>
          <w:highlight w:val="none"/>
        </w:rPr>
        <w:t xml:space="preserve">Нижний Новгород (Сормово).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4.</w:t>
      </w:r>
      <w:r>
        <w:rPr>
          <w:highlight w:val="none"/>
        </w:rPr>
        <w:t xml:space="preserve"> При невозможности соблюдения ограничений, </w:t>
      </w:r>
      <w:r>
        <w:rPr>
          <w:highlight w:val="none"/>
        </w:rPr>
        <w:t xml:space="preserve">предусмотренных пунктом 3 настоящей таблицы, </w:t>
      </w:r>
      <w:r>
        <w:rPr>
          <w:highlight w:val="none"/>
        </w:rPr>
        <w:t xml:space="preserve">размещение опасных производственных объектов должно </w:t>
      </w:r>
      <w:r>
        <w:rPr>
          <w:highlight w:val="none"/>
        </w:rPr>
        <w:t xml:space="preserve">выполняться на основании обоснования безопасности </w:t>
      </w:r>
      <w:r>
        <w:rPr>
          <w:highlight w:val="none"/>
        </w:rPr>
        <w:t xml:space="preserve">опасного производственного объекта, разрабатываемого на </w:t>
      </w:r>
      <w:r>
        <w:rPr>
          <w:highlight w:val="none"/>
        </w:rPr>
        <w:t xml:space="preserve">основании Федерального закона № 116-ФЗ.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7.2.9.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экспериментальной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(Сормово) </w:t>
      </w:r>
      <w:r>
        <w:rPr>
          <w:highlight w:val="none"/>
        </w:rPr>
        <w:t xml:space="preserve">(подзона 6)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10 км)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7,5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 1.</w:t>
      </w:r>
      <w:r>
        <w:rPr>
          <w:highlight w:val="none"/>
        </w:rPr>
        <w:t xml:space="preserve">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 </w:t>
      </w:r>
      <w:r>
        <w:rPr>
          <w:highlight w:val="none"/>
        </w:rPr>
        <w:t xml:space="preserve">расстоянии 15 км от КТА запрещается размещать объекты, </w:t>
      </w:r>
      <w:r>
        <w:rPr>
          <w:highlight w:val="none"/>
        </w:rPr>
        <w:t xml:space="preserve">способствующие привлечению и массовому скоплению </w:t>
      </w:r>
      <w:r>
        <w:rPr>
          <w:highlight w:val="none"/>
        </w:rPr>
        <w:t xml:space="preserve">птиц.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2.</w:t>
      </w:r>
      <w:r>
        <w:rPr>
          <w:highlight w:val="none"/>
        </w:rPr>
        <w:t xml:space="preserve"> Допускается размещать в границах шестой </w:t>
      </w:r>
      <w:r>
        <w:rPr>
          <w:highlight w:val="none"/>
        </w:rPr>
        <w:t xml:space="preserve">подзоны объекты по обращению с твердыми </w:t>
      </w:r>
      <w:r>
        <w:rPr>
          <w:highlight w:val="none"/>
        </w:rPr>
        <w:t xml:space="preserve">коммунальными отходами, пищевыми и биологическими </w:t>
      </w:r>
      <w:r>
        <w:rPr>
          <w:highlight w:val="none"/>
        </w:rPr>
        <w:t xml:space="preserve">отходами в случае наличия заключения по результатам </w:t>
      </w:r>
      <w:r>
        <w:rPr>
          <w:highlight w:val="none"/>
        </w:rPr>
        <w:t xml:space="preserve">орнитологического исследования на предмет отсутствия </w:t>
      </w:r>
      <w:r>
        <w:rPr>
          <w:highlight w:val="none"/>
        </w:rPr>
        <w:t xml:space="preserve">факторов, способствующих привлечению и массовому </w:t>
      </w:r>
      <w:r>
        <w:rPr>
          <w:highlight w:val="none"/>
        </w:rPr>
        <w:t xml:space="preserve">скоплению птиц, и (или) достаточности мер защиты </w:t>
      </w:r>
      <w:r>
        <w:rPr>
          <w:highlight w:val="none"/>
        </w:rPr>
        <w:t xml:space="preserve">указанных объектов от привлечения и массового скопления </w:t>
      </w:r>
      <w:r>
        <w:rPr>
          <w:highlight w:val="none"/>
        </w:rPr>
        <w:t xml:space="preserve">птиц, проведенного в соответствии с пунктом 1(4) </w:t>
      </w:r>
      <w:r>
        <w:rPr>
          <w:highlight w:val="none"/>
        </w:rPr>
        <w:t xml:space="preserve">Положения.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Объект оборудован системой отпугивания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7.2.10. Полностью в з</w:t>
      </w:r>
      <w:r>
        <w:rPr>
          <w:highlight w:val="none"/>
        </w:rPr>
        <w:t xml:space="preserve">оне умеренного подтопления, </w:t>
      </w:r>
      <w:r>
        <w:rPr>
          <w:highlight w:val="none"/>
        </w:rPr>
        <w:t xml:space="preserve">установленная в отношении </w:t>
      </w:r>
      <w:r>
        <w:rPr>
          <w:highlight w:val="none"/>
        </w:rPr>
        <w:t xml:space="preserve">территорий</w:t>
      </w:r>
      <w:r>
        <w:rPr>
          <w:highlight w:val="none"/>
        </w:rPr>
        <w:t xml:space="preserve"> г.Н.Новгород </w:t>
      </w:r>
      <w:r>
        <w:rPr>
          <w:highlight w:val="none"/>
        </w:rPr>
        <w:t xml:space="preserve">городского</w:t>
      </w:r>
      <w:r>
        <w:rPr>
          <w:highlight w:val="none"/>
        </w:rPr>
        <w:t xml:space="preserve"> округа</w:t>
      </w:r>
      <w:r>
        <w:rPr>
          <w:highlight w:val="none"/>
        </w:rPr>
        <w:t xml:space="preserve"> Нижний </w:t>
      </w:r>
      <w:r>
        <w:rPr>
          <w:highlight w:val="none"/>
        </w:rPr>
        <w:t xml:space="preserve">Новгород</w:t>
      </w:r>
      <w:r>
        <w:rPr>
          <w:highlight w:val="none"/>
        </w:rPr>
        <w:t xml:space="preserve"> Нижегородской </w:t>
      </w:r>
      <w:r>
        <w:rPr>
          <w:highlight w:val="none"/>
        </w:rPr>
        <w:t xml:space="preserve">области, прилегающих к р.Ока </w:t>
      </w:r>
      <w:r>
        <w:rPr>
          <w:highlight w:val="none"/>
        </w:rPr>
        <w:t xml:space="preserve">(Чебоксарское </w:t>
      </w:r>
      <w:r>
        <w:rPr>
          <w:highlight w:val="none"/>
        </w:rPr>
        <w:t xml:space="preserve">водохранилище), </w:t>
      </w:r>
      <w:r>
        <w:rPr>
          <w:highlight w:val="none"/>
        </w:rPr>
        <w:t xml:space="preserve">затапливаемых</w:t>
      </w:r>
      <w:r>
        <w:rPr>
          <w:highlight w:val="none"/>
        </w:rPr>
        <w:t xml:space="preserve"> при </w:t>
      </w:r>
      <w:r>
        <w:rPr>
          <w:highlight w:val="none"/>
        </w:rPr>
        <w:t xml:space="preserve">половодьях и паводках 1% </w:t>
      </w:r>
      <w:r>
        <w:rPr>
          <w:highlight w:val="none"/>
        </w:rPr>
        <w:t xml:space="preserve">обеспеченности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учетом </w:t>
      </w:r>
      <w:r>
        <w:rPr>
          <w:highlight w:val="none"/>
        </w:rPr>
        <w:t xml:space="preserve">фактически</w:t>
      </w:r>
      <w:r>
        <w:rPr>
          <w:highlight w:val="none"/>
        </w:rPr>
        <w:t xml:space="preserve"> затапливаемых </w:t>
      </w:r>
      <w:r>
        <w:rPr>
          <w:highlight w:val="none"/>
        </w:rPr>
        <w:t xml:space="preserve">территорий за предыдущие </w:t>
      </w:r>
      <w:r>
        <w:rPr>
          <w:highlight w:val="none"/>
        </w:rPr>
        <w:t xml:space="preserve">100 лет наблюдений </w:t>
      </w:r>
      <w:r>
        <w:rPr>
          <w:highlight w:val="none"/>
        </w:rPr>
        <w:t xml:space="preserve">(реестровый номер: </w:t>
      </w:r>
      <w:r>
        <w:rPr>
          <w:highlight w:val="none"/>
        </w:rPr>
        <w:t xml:space="preserve">52:00-6.1249)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Верхне-Волжского бассейнового </w:t>
      </w:r>
      <w:r>
        <w:rPr>
          <w:highlight w:val="none"/>
        </w:rPr>
        <w:t xml:space="preserve">водного управления Федерального Агентства </w:t>
      </w:r>
      <w:r>
        <w:rPr>
          <w:highlight w:val="none"/>
        </w:rPr>
        <w:t xml:space="preserve">водных ресурсов от 18.06.2024 №</w:t>
      </w:r>
      <w:r>
        <w:rPr>
          <w:highlight w:val="none"/>
        </w:rPr>
        <w:t xml:space="preserve"> 279 «Об установлении зоны подтопления </w:t>
      </w:r>
      <w:r>
        <w:rPr>
          <w:highlight w:val="none"/>
        </w:rPr>
        <w:t xml:space="preserve">рекой Волга (Чебоксарское </w:t>
      </w:r>
      <w:r>
        <w:rPr>
          <w:highlight w:val="none"/>
        </w:rPr>
        <w:t xml:space="preserve">водохранилище) территории города Нижний </w:t>
      </w:r>
      <w:r>
        <w:rPr>
          <w:highlight w:val="none"/>
        </w:rPr>
        <w:t xml:space="preserve">Новгород Нижегородской области»</w:t>
      </w:r>
      <w:r>
        <w:rPr>
          <w:highlight w:val="none"/>
        </w:rPr>
        <w:t xml:space="preserve">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В соответствии со ст.67.1 Водного кодекса РФ от 03.06.2006 №</w:t>
      </w:r>
      <w:r>
        <w:rPr>
          <w:highlight w:val="none"/>
        </w:rPr>
        <w:t xml:space="preserve"> 74-ФЗ в границах зон затопления </w:t>
      </w:r>
      <w:r>
        <w:rPr>
          <w:highlight w:val="none"/>
        </w:rPr>
        <w:t xml:space="preserve">запрещается: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1) строительство объектов капитального строительства, не </w:t>
      </w:r>
      <w:r>
        <w:rPr>
          <w:highlight w:val="none"/>
        </w:rPr>
        <w:t xml:space="preserve">обеспеченных сооружениями и (или) методами </w:t>
      </w:r>
      <w:r>
        <w:rPr>
          <w:highlight w:val="none"/>
        </w:rPr>
        <w:t xml:space="preserve">инженерной защиты территорий и объектов от негативного </w:t>
      </w:r>
      <w:r>
        <w:rPr>
          <w:highlight w:val="none"/>
        </w:rPr>
        <w:t xml:space="preserve">воздействия вод;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2) использование сточных вод в целях повышения </w:t>
      </w:r>
      <w:r>
        <w:rPr>
          <w:highlight w:val="none"/>
        </w:rPr>
        <w:t xml:space="preserve">почвенного плодородия;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3) размещение кладбищ, скотомогильников, объектов </w:t>
      </w:r>
      <w:r>
        <w:rPr>
          <w:highlight w:val="none"/>
        </w:rPr>
        <w:t xml:space="preserve">размещения отходов производства и потребления, </w:t>
      </w:r>
      <w:r>
        <w:rPr>
          <w:highlight w:val="none"/>
        </w:rPr>
        <w:t xml:space="preserve">химических,</w:t>
      </w:r>
      <w:r>
        <w:rPr>
          <w:highlight w:val="none"/>
        </w:rPr>
        <w:t xml:space="preserve"> взрывчатых,</w:t>
      </w:r>
      <w:r>
        <w:rPr>
          <w:highlight w:val="none"/>
        </w:rPr>
        <w:t xml:space="preserve"> токсичных,</w:t>
      </w:r>
      <w:r>
        <w:rPr>
          <w:highlight w:val="none"/>
        </w:rPr>
        <w:t xml:space="preserve"> отравляющих </w:t>
      </w:r>
      <w:r>
        <w:rPr>
          <w:highlight w:val="none"/>
        </w:rPr>
        <w:t xml:space="preserve">веществ, пунктов хранения и захоронения радиоактивных </w:t>
      </w:r>
      <w:r>
        <w:rPr>
          <w:highlight w:val="none"/>
        </w:rPr>
        <w:t xml:space="preserve">отходов;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4) осуществление авиационных мер по борьбе с вредными </w:t>
      </w:r>
      <w:r>
        <w:rPr>
          <w:highlight w:val="none"/>
        </w:rPr>
        <w:t xml:space="preserve">организмами.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Необходимо проведение мероприятий по инженерной подготовке территории в соответствии с техническими условиями МКУ </w:t>
      </w:r>
      <w:r>
        <w:rPr>
          <w:highlight w:val="none"/>
        </w:rPr>
        <w:t xml:space="preserve">«Управление инженерной защиты </w:t>
      </w:r>
      <w:r>
        <w:rPr>
          <w:highlight w:val="none"/>
        </w:rPr>
        <w:t xml:space="preserve">территорий города Нижнего Новгорода» № 87/01-13 от </w:t>
      </w:r>
      <w:r>
        <w:rPr>
          <w:highlight w:val="none"/>
        </w:rPr>
        <w:t xml:space="preserve">21.08.2024.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72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72"/>
        <w:ind w:firstLine="709"/>
        <w:jc w:val="both"/>
        <w:tabs>
          <w:tab w:val="left" w:pos="426" w:leader="none"/>
        </w:tabs>
      </w:pPr>
      <w:r/>
      <w:r/>
    </w:p>
    <w:p>
      <w:pPr>
        <w:pStyle w:val="872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72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72"/>
        <w:jc w:val="both"/>
        <w:tabs>
          <w:tab w:val="left" w:pos="-142" w:leader="none"/>
        </w:tabs>
      </w:pPr>
      <w:r/>
      <w:r/>
    </w:p>
    <w:p>
      <w:pPr>
        <w:pStyle w:val="872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72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72"/>
        <w:tabs>
          <w:tab w:val="left" w:pos="-142" w:leader="none"/>
        </w:tabs>
      </w:pPr>
      <w:r/>
      <w:r/>
    </w:p>
    <w:p>
      <w:pPr>
        <w:pStyle w:val="872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72"/>
        <w:ind w:firstLine="708"/>
        <w:jc w:val="both"/>
      </w:pPr>
      <w:r/>
      <w:r/>
    </w:p>
    <w:p>
      <w:pPr>
        <w:pStyle w:val="872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72"/>
        <w:jc w:val="both"/>
      </w:pPr>
      <w:r>
        <w:t xml:space="preserve">Администрация города Нижнего Новгорода</w:t>
      </w:r>
      <w:r/>
    </w:p>
    <w:p>
      <w:pPr>
        <w:pStyle w:val="872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72"/>
        <w:jc w:val="both"/>
      </w:pPr>
      <w:r>
        <w:t xml:space="preserve">Получатель арендной платы:</w:t>
      </w:r>
      <w:r/>
    </w:p>
    <w:p>
      <w:pPr>
        <w:pStyle w:val="872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</w:t>
      </w:r>
      <w:r>
        <w:rPr>
          <w:color w:val="000000"/>
        </w:rPr>
        <w:t xml:space="preserve">//УФК по Нижегородской области г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72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72"/>
        <w:jc w:val="both"/>
        <w:tabs>
          <w:tab w:val="left" w:pos="-142" w:leader="none"/>
        </w:tabs>
      </w:pPr>
      <w:r>
        <w:tab/>
      </w:r>
      <w:r/>
    </w:p>
    <w:p>
      <w:pPr>
        <w:pStyle w:val="872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72"/>
        <w:jc w:val="both"/>
        <w:tabs>
          <w:tab w:val="left" w:pos="-142" w:leader="none"/>
        </w:tabs>
      </w:pPr>
      <w:r/>
      <w:r/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872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72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2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72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2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72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72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72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72"/>
        <w:ind w:firstLine="567"/>
        <w:jc w:val="right"/>
        <w:tabs>
          <w:tab w:val="left" w:pos="-142" w:leader="none"/>
        </w:tabs>
      </w:pPr>
      <w:r/>
      <w:r/>
    </w:p>
    <w:p>
      <w:pPr>
        <w:pStyle w:val="872"/>
        <w:ind w:firstLine="567"/>
        <w:jc w:val="right"/>
        <w:tabs>
          <w:tab w:val="left" w:pos="-142" w:leader="none"/>
        </w:tabs>
      </w:pPr>
      <w:r/>
      <w:r/>
    </w:p>
    <w:p>
      <w:pPr>
        <w:pStyle w:val="872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72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72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72"/>
        <w:ind w:firstLine="567"/>
        <w:jc w:val="right"/>
        <w:tabs>
          <w:tab w:val="left" w:pos="-142" w:leader="none"/>
        </w:tabs>
      </w:pPr>
      <w:r/>
      <w:r/>
    </w:p>
    <w:p>
      <w:pPr>
        <w:pStyle w:val="872"/>
        <w:ind w:firstLine="567"/>
        <w:jc w:val="right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p>
      <w:pPr>
        <w:pStyle w:val="919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</w:t>
      </w:r>
      <w:r>
        <w:rPr>
          <w:color w:val="000000"/>
        </w:rPr>
        <w:t xml:space="preserve">ние: </w:t>
      </w:r>
      <w:r>
        <w:rPr>
          <w:shd w:val="clear" w:color="auto" w:fill="ffffff"/>
        </w:rPr>
        <w:t xml:space="preserve">Российская Федерация, Нижегородская область, г. Нижний Новгород, Автозаводский район, п. Новое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Доскино, ул. 32-я линия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</w:t>
      </w:r>
      <w:r>
        <w:rPr>
          <w:color w:val="000000"/>
        </w:rPr>
        <w:t xml:space="preserve">мер: 52:18:0040003:117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ind w:firstLine="567"/>
        <w:jc w:val="both"/>
        <w:rPr>
          <w:color w:val="000000"/>
        </w:rPr>
      </w:pPr>
      <w:r>
        <w:rPr>
          <w:color w:val="000000"/>
        </w:rPr>
        <w:t xml:space="preserve">4.  Пл</w:t>
      </w:r>
      <w:r>
        <w:rPr>
          <w:color w:val="000000"/>
        </w:rPr>
        <w:t xml:space="preserve">ощадь земельного участка: 564</w:t>
      </w:r>
      <w:r>
        <w:rPr>
          <w:color w:val="000000"/>
        </w:rPr>
        <w:t xml:space="preserve"> кв.м.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2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72"/>
        <w:ind w:firstLine="567"/>
      </w:pPr>
      <w:r>
        <w:t xml:space="preserve">Прочие</w:t>
      </w:r>
      <w:r/>
    </w:p>
    <w:p>
      <w:pPr>
        <w:pStyle w:val="872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2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72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72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2"/>
            </w:pPr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2"/>
              <w:jc w:val="center"/>
            </w:pPr>
            <w:r/>
            <w:r/>
          </w:p>
        </w:tc>
      </w:tr>
    </w:tbl>
    <w:p>
      <w:pPr>
        <w:pStyle w:val="872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72"/>
        <w:jc w:val="both"/>
        <w:tabs>
          <w:tab w:val="left" w:pos="-142" w:leader="none"/>
        </w:tabs>
      </w:pPr>
      <w:r/>
      <w:r/>
    </w:p>
    <w:p>
      <w:pPr>
        <w:pStyle w:val="872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72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2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72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2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2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8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9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901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link w:val="72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rPr>
      <w:sz w:val="24"/>
      <w:szCs w:val="24"/>
      <w:lang w:val="ru-RU" w:eastAsia="ru-RU" w:bidi="ar-SA"/>
    </w:rPr>
  </w:style>
  <w:style w:type="paragraph" w:styleId="873">
    <w:name w:val="Заголовок 1"/>
    <w:basedOn w:val="872"/>
    <w:next w:val="872"/>
    <w:link w:val="878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4">
    <w:name w:val="Заголовок 2"/>
    <w:basedOn w:val="872"/>
    <w:next w:val="872"/>
    <w:link w:val="879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5">
    <w:name w:val="Основной шрифт абзаца"/>
    <w:next w:val="875"/>
    <w:link w:val="872"/>
    <w:uiPriority w:val="1"/>
    <w:unhideWhenUsed/>
  </w:style>
  <w:style w:type="table" w:styleId="876">
    <w:name w:val="Обычная таблица"/>
    <w:next w:val="876"/>
    <w:link w:val="872"/>
    <w:uiPriority w:val="99"/>
    <w:semiHidden/>
    <w:unhideWhenUsed/>
    <w:tblPr/>
  </w:style>
  <w:style w:type="numbering" w:styleId="877">
    <w:name w:val="Нет списка"/>
    <w:next w:val="877"/>
    <w:link w:val="872"/>
    <w:uiPriority w:val="99"/>
    <w:semiHidden/>
    <w:unhideWhenUsed/>
  </w:style>
  <w:style w:type="character" w:styleId="878">
    <w:name w:val="Заголовок 1 Знак"/>
    <w:next w:val="878"/>
    <w:link w:val="873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9">
    <w:name w:val="Заголовок 2 Знак"/>
    <w:next w:val="879"/>
    <w:link w:val="874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80">
    <w:name w:val="Название"/>
    <w:basedOn w:val="872"/>
    <w:next w:val="880"/>
    <w:link w:val="881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1">
    <w:name w:val="Название Знак"/>
    <w:next w:val="881"/>
    <w:link w:val="880"/>
    <w:rPr>
      <w:rFonts w:ascii="Cambria" w:hAnsi="Cambria" w:eastAsia="Times New Roman" w:cs="Times New Roman"/>
      <w:b/>
      <w:bCs/>
      <w:sz w:val="32"/>
      <w:szCs w:val="32"/>
    </w:rPr>
  </w:style>
  <w:style w:type="paragraph" w:styleId="882">
    <w:name w:val="Основной текст с отступом"/>
    <w:basedOn w:val="872"/>
    <w:next w:val="882"/>
    <w:link w:val="883"/>
    <w:uiPriority w:val="99"/>
    <w:pPr>
      <w:ind w:left="360"/>
    </w:pPr>
    <w:rPr>
      <w:lang w:val="en-US" w:eastAsia="en-US"/>
    </w:rPr>
  </w:style>
  <w:style w:type="character" w:styleId="883">
    <w:name w:val="Основной текст с отступом Знак"/>
    <w:next w:val="883"/>
    <w:link w:val="882"/>
    <w:uiPriority w:val="99"/>
    <w:semiHidden/>
    <w:rPr>
      <w:rFonts w:cs="Times New Roman"/>
      <w:sz w:val="24"/>
      <w:szCs w:val="24"/>
    </w:rPr>
  </w:style>
  <w:style w:type="character" w:styleId="884">
    <w:name w:val="Цветовое выделение"/>
    <w:next w:val="884"/>
    <w:link w:val="872"/>
    <w:rPr>
      <w:b/>
      <w:color w:val="000080"/>
    </w:rPr>
  </w:style>
  <w:style w:type="paragraph" w:styleId="885">
    <w:name w:val="Заголовок статьи"/>
    <w:basedOn w:val="872"/>
    <w:next w:val="872"/>
    <w:link w:val="872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6">
    <w:name w:val="Основной текст"/>
    <w:basedOn w:val="872"/>
    <w:next w:val="886"/>
    <w:link w:val="887"/>
    <w:uiPriority w:val="99"/>
    <w:pPr>
      <w:jc w:val="both"/>
    </w:pPr>
    <w:rPr>
      <w:lang w:val="en-US" w:eastAsia="en-US"/>
    </w:rPr>
  </w:style>
  <w:style w:type="character" w:styleId="887">
    <w:name w:val="Основной текст Знак"/>
    <w:next w:val="887"/>
    <w:link w:val="886"/>
    <w:uiPriority w:val="99"/>
    <w:semiHidden/>
    <w:rPr>
      <w:rFonts w:cs="Times New Roman"/>
      <w:sz w:val="24"/>
      <w:szCs w:val="24"/>
    </w:rPr>
  </w:style>
  <w:style w:type="paragraph" w:styleId="888">
    <w:name w:val="Основной текст с отступом 2"/>
    <w:basedOn w:val="872"/>
    <w:next w:val="888"/>
    <w:link w:val="889"/>
    <w:uiPriority w:val="99"/>
    <w:pPr>
      <w:ind w:firstLine="708"/>
      <w:jc w:val="both"/>
    </w:pPr>
    <w:rPr>
      <w:lang w:val="en-US" w:eastAsia="en-US"/>
    </w:rPr>
  </w:style>
  <w:style w:type="character" w:styleId="889">
    <w:name w:val="Основной текст с отступом 2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2"/>
    <w:basedOn w:val="872"/>
    <w:next w:val="890"/>
    <w:link w:val="891"/>
    <w:uiPriority w:val="99"/>
    <w:rPr>
      <w:lang w:val="en-US" w:eastAsia="en-US"/>
    </w:rPr>
  </w:style>
  <w:style w:type="character" w:styleId="891">
    <w:name w:val="Основной текст 2 Знак"/>
    <w:next w:val="891"/>
    <w:link w:val="890"/>
    <w:uiPriority w:val="99"/>
    <w:rPr>
      <w:rFonts w:cs="Times New Roman"/>
      <w:sz w:val="24"/>
      <w:szCs w:val="24"/>
    </w:rPr>
  </w:style>
  <w:style w:type="paragraph" w:styleId="892">
    <w:name w:val="Таблицы (моноширинный)"/>
    <w:basedOn w:val="872"/>
    <w:next w:val="872"/>
    <w:link w:val="872"/>
    <w:pPr>
      <w:jc w:val="both"/>
    </w:pPr>
    <w:rPr>
      <w:rFonts w:ascii="Courier New" w:hAnsi="Courier New" w:cs="Courier New"/>
      <w:sz w:val="20"/>
      <w:szCs w:val="20"/>
    </w:rPr>
  </w:style>
  <w:style w:type="character" w:styleId="893">
    <w:name w:val="Номер страницы"/>
    <w:next w:val="893"/>
    <w:link w:val="872"/>
    <w:uiPriority w:val="99"/>
    <w:rPr>
      <w:rFonts w:cs="Times New Roman"/>
    </w:rPr>
  </w:style>
  <w:style w:type="paragraph" w:styleId="894">
    <w:name w:val="Нижний колонтитул"/>
    <w:basedOn w:val="872"/>
    <w:next w:val="894"/>
    <w:link w:val="89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5">
    <w:name w:val="Нижний колонтитул Знак"/>
    <w:next w:val="895"/>
    <w:link w:val="894"/>
    <w:uiPriority w:val="99"/>
    <w:semiHidden/>
    <w:rPr>
      <w:rFonts w:cs="Times New Roman"/>
      <w:sz w:val="24"/>
      <w:szCs w:val="24"/>
    </w:rPr>
  </w:style>
  <w:style w:type="paragraph" w:styleId="896">
    <w:name w:val="Основной текст с отступом 3"/>
    <w:basedOn w:val="872"/>
    <w:next w:val="896"/>
    <w:link w:val="897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7">
    <w:name w:val="Основной текст с отступом 3 Знак"/>
    <w:next w:val="897"/>
    <w:link w:val="896"/>
    <w:uiPriority w:val="99"/>
    <w:semiHidden/>
    <w:rPr>
      <w:rFonts w:cs="Times New Roman"/>
      <w:sz w:val="16"/>
      <w:szCs w:val="16"/>
    </w:rPr>
  </w:style>
  <w:style w:type="paragraph" w:styleId="898">
    <w:name w:val="Стиль1"/>
    <w:basedOn w:val="872"/>
    <w:next w:val="898"/>
    <w:link w:val="872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9">
    <w:name w:val="Стиль2"/>
    <w:basedOn w:val="900"/>
    <w:next w:val="899"/>
    <w:link w:val="872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900">
    <w:name w:val="Нумерованный список 2"/>
    <w:basedOn w:val="872"/>
    <w:next w:val="900"/>
    <w:link w:val="872"/>
    <w:uiPriority w:val="99"/>
    <w:pPr>
      <w:ind w:left="643" w:hanging="360"/>
      <w:tabs>
        <w:tab w:val="num" w:pos="643" w:leader="none"/>
      </w:tabs>
    </w:pPr>
  </w:style>
  <w:style w:type="paragraph" w:styleId="901">
    <w:name w:val="Стиль3"/>
    <w:basedOn w:val="888"/>
    <w:next w:val="901"/>
    <w:link w:val="872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902">
    <w:name w:val="Верхний колонтитул"/>
    <w:basedOn w:val="872"/>
    <w:next w:val="902"/>
    <w:link w:val="903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3">
    <w:name w:val="Верхний колонтитул Знак"/>
    <w:next w:val="903"/>
    <w:link w:val="902"/>
    <w:uiPriority w:val="99"/>
    <w:semiHidden/>
    <w:rPr>
      <w:rFonts w:cs="Times New Roman"/>
      <w:sz w:val="24"/>
      <w:szCs w:val="24"/>
    </w:rPr>
  </w:style>
  <w:style w:type="paragraph" w:styleId="904">
    <w:name w:val="Подзаголовок"/>
    <w:basedOn w:val="872"/>
    <w:next w:val="904"/>
    <w:link w:val="905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5">
    <w:name w:val="Подзаголовок Знак"/>
    <w:next w:val="905"/>
    <w:link w:val="904"/>
    <w:uiPriority w:val="11"/>
    <w:rPr>
      <w:rFonts w:ascii="Cambria" w:hAnsi="Cambria" w:eastAsia="Times New Roman" w:cs="Times New Roman"/>
      <w:sz w:val="24"/>
      <w:szCs w:val="24"/>
    </w:rPr>
  </w:style>
  <w:style w:type="paragraph" w:styleId="906">
    <w:name w:val="ConsPlusNormal"/>
    <w:next w:val="906"/>
    <w:link w:val="872"/>
    <w:pPr>
      <w:ind w:firstLine="720"/>
    </w:pPr>
    <w:rPr>
      <w:rFonts w:ascii="Arial" w:hAnsi="Arial" w:cs="Arial"/>
      <w:lang w:val="ru-RU" w:eastAsia="ru-RU" w:bidi="ar-SA"/>
    </w:rPr>
  </w:style>
  <w:style w:type="paragraph" w:styleId="907">
    <w:name w:val="Оглавление 1"/>
    <w:basedOn w:val="872"/>
    <w:next w:val="872"/>
    <w:link w:val="872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8">
    <w:name w:val="Гиперссылка"/>
    <w:next w:val="908"/>
    <w:link w:val="872"/>
    <w:uiPriority w:val="99"/>
    <w:rPr>
      <w:rFonts w:cs="Times New Roman"/>
      <w:color w:val="0000ff"/>
      <w:u w:val="single"/>
    </w:rPr>
  </w:style>
  <w:style w:type="character" w:styleId="909">
    <w:name w:val="Знак"/>
    <w:next w:val="909"/>
    <w:link w:val="872"/>
    <w:uiPriority w:val="99"/>
    <w:rPr>
      <w:rFonts w:cs="Times New Roman"/>
      <w:sz w:val="24"/>
      <w:szCs w:val="24"/>
      <w:lang w:val="ru-RU" w:eastAsia="ru-RU"/>
    </w:rPr>
  </w:style>
  <w:style w:type="paragraph" w:styleId="910">
    <w:name w:val="ConsNonformat"/>
    <w:next w:val="910"/>
    <w:link w:val="872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1">
    <w:name w:val="ConsNormal"/>
    <w:next w:val="911"/>
    <w:link w:val="872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2">
    <w:name w:val="Основной текст 3"/>
    <w:basedOn w:val="872"/>
    <w:next w:val="912"/>
    <w:link w:val="913"/>
    <w:uiPriority w:val="99"/>
    <w:pPr>
      <w:spacing w:after="120"/>
    </w:pPr>
    <w:rPr>
      <w:sz w:val="16"/>
      <w:szCs w:val="16"/>
      <w:lang w:val="en-US" w:eastAsia="en-US"/>
    </w:rPr>
  </w:style>
  <w:style w:type="character" w:styleId="913">
    <w:name w:val="Основной текст 3 Знак"/>
    <w:next w:val="913"/>
    <w:link w:val="912"/>
    <w:uiPriority w:val="99"/>
    <w:semiHidden/>
    <w:rPr>
      <w:rFonts w:cs="Times New Roman"/>
      <w:sz w:val="16"/>
      <w:szCs w:val="16"/>
    </w:rPr>
  </w:style>
  <w:style w:type="paragraph" w:styleId="914">
    <w:name w:val="Текст выноски"/>
    <w:basedOn w:val="872"/>
    <w:next w:val="914"/>
    <w:link w:val="915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5">
    <w:name w:val="Текст выноски Знак"/>
    <w:next w:val="915"/>
    <w:link w:val="914"/>
    <w:uiPriority w:val="99"/>
    <w:semiHidden/>
    <w:rPr>
      <w:rFonts w:ascii="Tahoma" w:hAnsi="Tahoma" w:cs="Tahoma"/>
      <w:sz w:val="16"/>
      <w:szCs w:val="16"/>
    </w:rPr>
  </w:style>
  <w:style w:type="character" w:styleId="916">
    <w:name w:val="Просмотренная гиперссылка"/>
    <w:next w:val="916"/>
    <w:link w:val="872"/>
    <w:uiPriority w:val="99"/>
    <w:rPr>
      <w:rFonts w:cs="Times New Roman"/>
      <w:color w:val="800080"/>
      <w:u w:val="single"/>
    </w:rPr>
  </w:style>
  <w:style w:type="character" w:styleId="917">
    <w:name w:val="Гипертекстовая ссылка"/>
    <w:next w:val="917"/>
    <w:link w:val="872"/>
    <w:uiPriority w:val="99"/>
    <w:rPr>
      <w:rFonts w:cs="Times New Roman"/>
      <w:b/>
      <w:bCs/>
      <w:color w:val="008000"/>
      <w:u w:val="single"/>
    </w:rPr>
  </w:style>
  <w:style w:type="character" w:styleId="918">
    <w:name w:val="apple-converted-space"/>
    <w:basedOn w:val="875"/>
    <w:next w:val="918"/>
    <w:link w:val="872"/>
  </w:style>
  <w:style w:type="paragraph" w:styleId="919">
    <w:name w:val="Абзац списка"/>
    <w:basedOn w:val="872"/>
    <w:next w:val="919"/>
    <w:link w:val="872"/>
    <w:uiPriority w:val="34"/>
    <w:qFormat/>
    <w:pPr>
      <w:contextualSpacing/>
      <w:ind w:left="720"/>
    </w:pPr>
  </w:style>
  <w:style w:type="character" w:styleId="920" w:default="1">
    <w:name w:val="Default Paragraph Font"/>
    <w:uiPriority w:val="1"/>
    <w:semiHidden/>
    <w:unhideWhenUsed/>
  </w:style>
  <w:style w:type="numbering" w:styleId="921" w:default="1">
    <w:name w:val="No List"/>
    <w:uiPriority w:val="99"/>
    <w:semiHidden/>
    <w:unhideWhenUsed/>
  </w:style>
  <w:style w:type="table" w:styleId="92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76</cp:revision>
  <dcterms:created xsi:type="dcterms:W3CDTF">2020-03-02T11:26:00Z</dcterms:created>
  <dcterms:modified xsi:type="dcterms:W3CDTF">2025-10-31T05:50:45Z</dcterms:modified>
  <cp:version>786432</cp:version>
</cp:coreProperties>
</file>