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06.11.2025 № 14032 «</w:t>
      </w:r>
      <w:r>
        <w:t xml:space="preserve">О проведении аукциона в электрон</w:t>
      </w:r>
      <w:r>
        <w:t xml:space="preserve">ной форме на право заключения до</w:t>
      </w:r>
      <w:r>
        <w:t xml:space="preserve">говора аренды земельного участка,</w:t>
      </w:r>
      <w:r>
        <w:t xml:space="preserve"> </w:t>
      </w:r>
      <w:r>
        <w:t xml:space="preserve">расположенного по адресу: Нижего</w:t>
      </w:r>
      <w:r>
        <w:t xml:space="preserve">родская область, город Нижний Нов</w:t>
      </w:r>
      <w:r>
        <w:t xml:space="preserve">город, Автозаводский район, п.Новое</w:t>
      </w:r>
      <w:r>
        <w:t xml:space="preserve"> </w:t>
      </w:r>
      <w:r>
        <w:t xml:space="preserve">Доскино, ул. 33-я линия, кадастро</w:t>
      </w:r>
      <w:r>
        <w:t xml:space="preserve">вый номер 52:18:0040003:114, с видом</w:t>
      </w:r>
      <w:r>
        <w:t xml:space="preserve"> </w:t>
      </w:r>
      <w:r>
        <w:t xml:space="preserve">разрешенного использования: для</w:t>
      </w:r>
      <w:r>
        <w:t xml:space="preserve"> </w:t>
      </w:r>
      <w:r>
        <w:t xml:space="preserve">индивидуального жилищного строи</w:t>
      </w:r>
      <w:r>
        <w:t xml:space="preserve">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652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 Нижний Новгород, Автозаводский район, поселок Новое </w:t>
      </w:r>
      <w:r>
        <w:t xml:space="preserve">Доскино, линия 33-я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52:18:0040003:114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</w:t>
      </w:r>
      <w:r>
        <w:rPr>
          <w:color w:val="000000"/>
        </w:rPr>
        <w:t xml:space="preserve">го</w:t>
      </w:r>
      <w:r>
        <w:rPr>
          <w:color w:val="000000"/>
        </w:rPr>
        <w:t xml:space="preserve"> строительств</w:t>
      </w:r>
      <w:r>
        <w:rPr>
          <w:color w:val="000000"/>
        </w:rPr>
        <w:t xml:space="preserve">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7.2.5.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38)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7.2.6.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150,1 м до 154,5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7.2.7.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 которых может повлиять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</w:t>
      </w:r>
      <w:r>
        <w:t xml:space="preserve">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7.2.8.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 на предмет отсутствия факторов,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7.2.9. </w:t>
      </w:r>
      <w:r>
        <w:rPr>
          <w:highlight w:val="none"/>
        </w:rPr>
        <w:t xml:space="preserve">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установленной в отношении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279 «Об установлении зоны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 области».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№182/01-13 от </w:t>
      </w:r>
      <w:r>
        <w:rPr>
          <w:highlight w:val="none"/>
        </w:rPr>
        <w:t xml:space="preserve">06.11.2024.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Банк: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vertAlign w:val="baseline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  <w:sz w:val="24"/>
          <w:szCs w:val="24"/>
        </w:rPr>
        <w:t xml:space="preserve">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г. Нижний Новгород, Автозаводский район, поселок Новое </w:t>
      </w:r>
      <w:r>
        <w:t xml:space="preserve">Доскино, линия 33-я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52:18:0040003:114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652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n.frolova@ADMGOR.NN</cp:lastModifiedBy>
  <cp:revision>74</cp:revision>
  <dcterms:created xsi:type="dcterms:W3CDTF">2020-03-02T11:26:00Z</dcterms:created>
  <dcterms:modified xsi:type="dcterms:W3CDTF">2025-11-10T13:40:23Z</dcterms:modified>
  <cp:version>786432</cp:version>
</cp:coreProperties>
</file>