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 право заключения договора аренды земельного участка, расположенного по адресу: Российская Федерация, Нижегородская область, городской округ город Нижний Новгород, деревня Ольгино, земельный участок 30В, кадастровый номер 52:18:0080252:229, с видом разреш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енного использования: для индивидуального жилищного строительства</w:t>
      </w:r>
      <w:r>
        <w:rPr>
          <w:highlight w:val="none"/>
        </w:rPr>
      </w:r>
      <w:r>
        <w:rPr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Дата начала приема заявок: 14.01.2026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Дата окончания приема заявок: 03.02.2026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Дата аукциона: 05.02.2026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2026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highlight w:val="none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постановления администрации города Нижнего Новгорода от 27.11.2025 № 15108 «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проведении аукциона в электронной форме на право заключения договора аренды земельного участка, расположенного по адресу: Российская Федерация, Нижегородская область, городской округ город Нижний Новгород, деревня Ольгино, земельный участок 30В, кадастров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ый номер 52:18:0080252:229, с видом разрешенного использования: для индивидуального 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  <w:highlight w:val="none"/>
          </w:rPr>
          <w:t xml:space="preserve">ann@admgor.nnov.ru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123112, г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highlight w:val="none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Российская Фе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дерация, Нижегородская область, городской округ город Нижний Новгород, де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ревня Ольгино, земельный участок 30В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none"/>
        </w:rPr>
        <w:t xml:space="preserve">, кадастровый номер 52:18:0080252:229, с видом разрешенного использования: для индивидуального жилищного строительства»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(далее – земельный участок).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2.5.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  <w:t xml:space="preserve">Местоположение: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none"/>
        </w:rPr>
        <w:t xml:space="preserve">Российская Федерация, Нижегородская область, городской округ город Нижний Новгород, деревня Ольгино, земельный участок 30В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900 +/-10 кв.м.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Кадастровый номер: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none"/>
        </w:rPr>
        <w:t xml:space="preserve">52:18:0080252:2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none"/>
        </w:rPr>
        <w:t xml:space="preserve">2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none"/>
        </w:rPr>
        <w:t xml:space="preserve">9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none"/>
        </w:rPr>
        <w:t xml:space="preserve">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none"/>
        </w:rPr>
        <w:t xml:space="preserve"> 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none"/>
        </w:rPr>
        <w:t xml:space="preserve">бласть, городской округ город Нижний Новгород,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none"/>
        </w:rPr>
        <w:t xml:space="preserve">деревня Ольгино,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none"/>
        </w:rPr>
        <w:t xml:space="preserve">земельный участок 30В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№ РФ-52-2-01-0-00-2025-0814-0, дата выдачи 04.09.2025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2.7.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  Начальная цена предмета аукциона (размер ежегодной арендной платы) – 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525 880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пятьсот двадцать пять тысяч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восемьсот восемьдесят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) рублей.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  <w:highlight w:val="none"/>
        </w:rPr>
        <w:br/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от 10.10.2025  № 284-23/05 об оценке Объекта оценки: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Земельный участок, площадью 900 кв.м., кадастровый номер: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52:18:0080252:229, адрес: Российская Федерация,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Нижегородская область, городской округ город Нижний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Новгород, деревня Ольгино, земельный участок 30В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выполненного ООО «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» в соответствии с законодательством Российской Федерации об оценочной деятельности.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2.8. 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 Шаг аукциона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 15 770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  Обеспечение участия в аукционе: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525 880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пятьсот двадцать пять тысяч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восемьсот восемьдесят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) рублей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2.10.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-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14.01.2026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03.02.2026 в 12 час. 00 мин.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04.02.2026.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05.02.2026 в 10 час. 00 мин.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рганизатором торгов извещение о предоставлении земельного участка в соответствии с подпунктом 1 пункта 1 статьи 39.18 Земельного кодекса Российской Федерации не размещалось.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3.2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  <w:highlight w:val="none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5.1.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5.2.  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5.3.  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5.4.  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none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highlight w:val="none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5.5.  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6.1.  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6.2.  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6.3.  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6.4.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6.5.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6.6.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6.7.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6.8.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6.9.  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7.1.  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Инструкциями установлено требование о взимания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7.2.  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*Составляет 1% от начальной цены, установленной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7.3.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Обеспечительный платеж перечисляется Заявителем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Банк: АО «АЛЬФА-БАНК»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7.4.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 неверно заполненного назначения платежа,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7.5.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7.6.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После завершения процедуры, а также в случае отмены аукциона, отзыва Заявителем своей з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  <w:t xml:space="preserve">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8.1.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8.3.  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Заявк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8.4.  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8.5.  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8.6.  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8.7.  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8.8.  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8.9.  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8.10.  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8.11.  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ии ау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9.1.  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9.2.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</w:rPr>
      </w:r>
      <w:r>
        <w:rPr>
          <w:rFonts w:ascii="Times New Roman" w:hAnsi="Times New Roman" w:cs="Times New Roman" w:eastAsiaTheme="minorHAnsi"/>
          <w:sz w:val="24"/>
          <w:szCs w:val="24"/>
          <w:highlight w:val="non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</w:rPr>
      </w:r>
      <w:r>
        <w:rPr>
          <w:rFonts w:ascii="Times New Roman" w:hAnsi="Times New Roman" w:cs="Times New Roman" w:eastAsiaTheme="minorHAnsi"/>
          <w:sz w:val="24"/>
          <w:szCs w:val="24"/>
          <w:highlight w:val="non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</w:rPr>
      </w:r>
      <w:r>
        <w:rPr>
          <w:rFonts w:ascii="Times New Roman" w:hAnsi="Times New Roman" w:cs="Times New Roman" w:eastAsiaTheme="minorHAnsi"/>
          <w:sz w:val="24"/>
          <w:szCs w:val="24"/>
          <w:highlight w:val="non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non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none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highlight w:val="none"/>
        </w:rPr>
      </w:r>
      <w:r>
        <w:rPr>
          <w:rFonts w:ascii="Times New Roman" w:hAnsi="Times New Roman" w:cs="Times New Roman" w:eastAsiaTheme="minorHAnsi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9.3.  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9.4.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9.5.  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10.  Порядок проведения аукциона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10.1.  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10.2.  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none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highlight w:val="none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highlight w:val="none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10.3.  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10.4.  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10.5.  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10.6.  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10.7.  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10.8.  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10.9.  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10.10.  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10.11.  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10.12.  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11.1.  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11.2.  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none"/>
            <w:shd w:val="clear" w:color="auto" w:fill="ffffff"/>
          </w:rPr>
          <w:t xml:space="preserve">https://www.fabrikant.ru/rules/common?category-id=1705</w:t>
        </w:r>
      </w:hyperlink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11.3.  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ранее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11.4.  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11.5.  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11.6.  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11.7.  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11.8.  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11.9.  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11.10.  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e.mirzaliev</cp:lastModifiedBy>
  <cp:revision>52</cp:revision>
  <dcterms:created xsi:type="dcterms:W3CDTF">2025-03-27T14:30:00Z</dcterms:created>
  <dcterms:modified xsi:type="dcterms:W3CDTF">2026-01-14T10:40:25Z</dcterms:modified>
</cp:coreProperties>
</file>