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tabs>
          <w:tab w:val="clear" w:pos="7143" w:leader="none"/>
          <w:tab w:val="left" w:pos="8536" w:leader="none"/>
          <w:tab w:val="clear" w:pos="14287" w:leader="none"/>
        </w:tabs>
        <w:jc w:val="right"/>
      </w:pPr>
      <w:r>
        <w:t xml:space="preserve">Приложение №3</w:t>
      </w:r>
    </w:p>
    <w:p>
      <w:pPr>
        <w:jc w:val="center"/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jc w:val="center"/>
        <w:rPr>
          <w:highlight w:val="none"/>
        </w:rPr>
      </w:pPr>
      <w:r>
        <w:t xml:space="preserve">ДОГОВОР</w:t>
      </w:r>
    </w:p>
    <w:p>
      <w:pPr>
        <w:pStyle w:val="871"/>
        <w:jc w:val="center"/>
      </w:pPr>
      <w:r>
        <w:t xml:space="preserve">АРЕНДЫ ЗЕМЕЛЬНОГО УЧАСТКА</w:t>
      </w:r>
    </w:p>
    <w:p>
      <w:pPr>
        <w:pStyle w:val="871"/>
        <w:jc w:val="center"/>
      </w:pPr>
      <w:r>
        <w:t xml:space="preserve">№___________</w:t>
      </w:r>
    </w:p>
    <w:p>
      <w:pPr>
        <w:pStyle w:val="871"/>
        <w:tabs>
          <w:tab w:val="left" w:pos="2552" w:leader="none"/>
        </w:tabs>
        <w:ind w:left="2552" w:hanging="2552"/>
        <w:jc w:val="both"/>
      </w:pPr>
    </w:p>
    <w:p>
      <w:pPr>
        <w:pStyle w:val="871"/>
        <w:tabs>
          <w:tab w:val="left" w:pos="7512" w:leader="none"/>
          <w:tab w:val="left" w:pos="7937" w:leader="none"/>
        </w:tabs>
        <w:ind w:left="0" w:right="0" w:firstLine="0"/>
        <w:jc w:val="both"/>
      </w:pPr>
      <w:r>
        <w:t xml:space="preserve">г. Нижний Новгород</w:t>
        <w:tab/>
        <w:t xml:space="preserve">«___» ___________20</w:t>
      </w:r>
      <w:r>
        <w:t xml:space="preserve">__</w:t>
      </w:r>
      <w:r>
        <w:t xml:space="preserve">г.</w:t>
      </w:r>
    </w:p>
    <w:p>
      <w:pPr>
        <w:pStyle w:val="871"/>
        <w:tabs>
          <w:tab w:val="left" w:pos="2552" w:leader="none"/>
        </w:tabs>
        <w:ind w:left="2552" w:hanging="2552"/>
        <w:jc w:val="left"/>
      </w:pPr>
    </w:p>
    <w:p>
      <w:pPr>
        <w:pStyle w:val="871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</w:p>
    <w:p>
      <w:pPr>
        <w:pStyle w:val="871"/>
        <w:tabs>
          <w:tab w:val="left" w:pos="-142" w:leader="none"/>
        </w:tabs>
        <w:jc w:val="both"/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</w:p>
    <w:p>
      <w:pPr>
        <w:pStyle w:val="871"/>
        <w:ind w:hanging="32"/>
        <w:jc w:val="both"/>
      </w:pPr>
      <w:r>
        <w:t xml:space="preserve">____________________________________________________________________________________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в лице ______________________________________________________________________________</w:t>
      </w:r>
    </w:p>
    <w:p>
      <w:pPr>
        <w:pStyle w:val="871"/>
        <w:tabs>
          <w:tab w:val="left" w:pos="-142" w:leader="none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tabs>
          <w:tab w:val="left" w:pos="-142" w:leader="none"/>
        </w:tabs>
        <w:jc w:val="both"/>
      </w:pPr>
      <w:r>
        <w:t xml:space="preserve">действующего на основании, ___________________________________________________________</w:t>
      </w:r>
    </w:p>
    <w:p>
      <w:pPr>
        <w:pStyle w:val="871"/>
        <w:tabs>
          <w:tab w:val="left" w:pos="-142" w:leader="none"/>
        </w:tabs>
        <w:jc w:val="both"/>
        <w:rPr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 xml:space="preserve">(положения, распоряжения,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1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26.12.2025 № 16451 «</w:t>
      </w:r>
      <w:r>
        <w:t xml:space="preserve">О проведении аукциона в электрон</w:t>
      </w:r>
      <w:r>
        <w:t xml:space="preserve">ной форме на право заключения дого</w:t>
      </w:r>
      <w:r>
        <w:t xml:space="preserve">вора аренды земельного участка, рас</w:t>
      </w:r>
      <w:r>
        <w:t xml:space="preserve">положенного по адресу: Российская</w:t>
      </w:r>
      <w:r>
        <w:t xml:space="preserve"> </w:t>
      </w:r>
      <w:r>
        <w:t xml:space="preserve">Федерация, Нижегородская область,</w:t>
      </w:r>
      <w:r>
        <w:t xml:space="preserve"> </w:t>
      </w:r>
      <w:r>
        <w:t xml:space="preserve">г.о город Нижний Новгород, г Нижний</w:t>
      </w:r>
      <w:r>
        <w:t xml:space="preserve"> </w:t>
      </w:r>
      <w:r>
        <w:t xml:space="preserve">Новгород, ул.Добровольцев, земель</w:t>
      </w:r>
      <w:r>
        <w:t xml:space="preserve">ный участок 46Б, кадастровый номер</w:t>
      </w:r>
      <w:r>
        <w:t xml:space="preserve"> </w:t>
      </w:r>
      <w:r>
        <w:t xml:space="preserve">52:18:0010411:196, с видом разрешен</w:t>
      </w:r>
      <w:r>
        <w:t xml:space="preserve">ного использования: для индивиду</w:t>
      </w:r>
      <w:r>
        <w:t xml:space="preserve">ального жилищного строительства</w:t>
      </w:r>
      <w:r>
        <w:t xml:space="preserve">»</w:t>
      </w:r>
      <w:r>
        <w:t xml:space="preserve"> </w:t>
      </w:r>
      <w:r>
        <w:t xml:space="preserve">заключили настоящий договор о нижеследующем: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1. ПРЕДМЕТ ДОГОВОРА</w:t>
      </w:r>
    </w:p>
    <w:p>
      <w:pPr>
        <w:pStyle w:val="871"/>
        <w:tabs>
          <w:tab w:val="left" w:pos="-180" w:leader="none"/>
        </w:tabs>
        <w:ind w:firstLine="0"/>
        <w:jc w:val="both"/>
      </w:pPr>
    </w:p>
    <w:p>
      <w:pPr>
        <w:pStyle w:val="871"/>
        <w:tabs>
          <w:tab w:val="left" w:pos="-180" w:leader="none"/>
        </w:tabs>
        <w:ind w:left="0" w:right="0" w:firstLine="567"/>
        <w:jc w:val="both"/>
      </w:pPr>
      <w:r>
        <w:t xml:space="preserve">1.1. 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</w:p>
    <w:p>
      <w:pPr>
        <w:pStyle w:val="871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площадь – 774</w:t>
      </w:r>
      <w:r>
        <w:t xml:space="preserve"> кв.м.,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категория земель – земли населенных пунктов,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местоположение земельного участка: </w:t>
      </w:r>
      <w:r>
        <w:t xml:space="preserve">Российская Фе</w:t>
      </w:r>
      <w:r>
        <w:t xml:space="preserve">дерация, Нижегородская область, г.о город Нижний Новгород, г Нижний Новгород,</w:t>
      </w:r>
      <w:r>
        <w:t xml:space="preserve"> </w:t>
      </w:r>
      <w:r>
        <w:t xml:space="preserve">ул.Добровольцев, земельный участок 46Б</w:t>
      </w:r>
      <w:r>
        <w:rPr>
          <w:highlight w:val="none"/>
        </w:rPr>
        <w:t xml:space="preserve">,</w:t>
      </w:r>
    </w:p>
    <w:p>
      <w:pPr>
        <w:pStyle w:val="871"/>
        <w:tabs>
          <w:tab w:val="left" w:pos="142" w:leader="none"/>
        </w:tabs>
        <w:ind w:firstLine="567"/>
        <w:jc w:val="both"/>
      </w:pPr>
      <w:r>
        <w:t xml:space="preserve">кадастровый номер: 52:18:0010411:196</w:t>
      </w:r>
      <w:r>
        <w:t xml:space="preserve"> (далее - Участок).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1.2. 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</w:p>
    <w:p>
      <w:pPr>
        <w:pStyle w:val="871"/>
        <w:ind w:firstLine="540"/>
        <w:jc w:val="both"/>
      </w:pPr>
      <w:r>
        <w:t xml:space="preserve">1.3. 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2. СРОК ДОГОВОРА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3. ПРАВА И ОБЯЗАННОСТИ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 Арендодатель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3.1.1. Контролировать и требовать соблюдение Арендатором условий настоящего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</w:p>
    <w:p>
      <w:pPr>
        <w:pStyle w:val="871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</w:p>
    <w:p>
      <w:pPr>
        <w:pStyle w:val="871"/>
        <w:ind w:firstLine="54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 Арендодатель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3.2.4. Своевременно уведомлять Арендатора о внесении изменений в Договор в порядке, установленном п.3.1.4.</w:t>
      </w:r>
    </w:p>
    <w:p>
      <w:pPr>
        <w:pStyle w:val="871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 Арендатор имеет право: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</w:p>
    <w:p>
      <w:pPr>
        <w:pStyle w:val="871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</w:p>
    <w:p>
      <w:pPr>
        <w:pStyle w:val="871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</w:p>
    <w:p>
      <w:pPr>
        <w:pStyle w:val="871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</w:p>
    <w:p>
      <w:pPr>
        <w:pStyle w:val="871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 Арендатор обязан: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3.4.1. Принять Участок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3.4.2. Выполнять в полном объеме все условия Договора.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3.4.3. Использовать Участок в соответствии с установленным в пункте 1.3 разрешенным использованием Участка.</w:t>
      </w:r>
    </w:p>
    <w:p>
      <w:pPr>
        <w:pStyle w:val="871"/>
        <w:widowControl w:val="off"/>
        <w:tabs>
          <w:tab w:val="left" w:pos="-142" w:leader="none"/>
          <w:tab w:val="left" w:pos="567" w:leader="none"/>
        </w:tabs>
        <w:ind w:firstLine="567"/>
        <w:jc w:val="both"/>
      </w:pPr>
      <w:r>
        <w:t xml:space="preserve">3.4.4. Своевременно вносить арендную плату, установленную Договором.</w:t>
      </w:r>
    </w:p>
    <w:p>
      <w:pPr>
        <w:pStyle w:val="871"/>
        <w:keepLines/>
        <w:ind w:firstLine="567"/>
        <w:jc w:val="both"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</w:p>
    <w:p>
      <w:pPr>
        <w:pStyle w:val="871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</w:p>
    <w:p>
      <w:pPr>
        <w:pStyle w:val="871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в) смены   руководителя  организации,  главы  фермерского хозяйства с подтверждением полномочий;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г</w:t>
      </w:r>
      <w:r>
        <w:t xml:space="preserve">) принятия решения о ликвидации Арендатора.</w:t>
      </w:r>
    </w:p>
    <w:p>
      <w:pPr>
        <w:pStyle w:val="871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3.4.11. Обеспечивать надлежащее санитарное содержание территории Участка.</w:t>
      </w:r>
    </w:p>
    <w:p>
      <w:pPr>
        <w:pStyle w:val="871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4. ПОРЯДОК РАСЧЕТОВ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1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1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</w:p>
    <w:p>
      <w:pPr>
        <w:pStyle w:val="871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</w:p>
    <w:p>
      <w:pPr>
        <w:pStyle w:val="871"/>
        <w:tabs>
          <w:tab w:val="num" w:pos="900" w:leader="none"/>
        </w:tabs>
        <w:ind w:firstLine="567"/>
        <w:jc w:val="both"/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4.7. Не использование Участка Арендатором не может служить основанием для невнесения им арендной 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left="0" w:firstLine="0"/>
        <w:jc w:val="center"/>
      </w:pPr>
      <w:r>
        <w:t xml:space="preserve">5. ОТВЕТСТВЕННОСТЬ СТОРОН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</w:p>
    <w:p>
      <w:pPr>
        <w:pStyle w:val="871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tabs>
          <w:tab w:val="left" w:pos="-142" w:leader="none"/>
          <w:tab w:val="left" w:pos="0" w:leader="none"/>
        </w:tabs>
        <w:ind w:left="0" w:firstLine="0"/>
        <w:jc w:val="center"/>
      </w:pPr>
      <w:r>
        <w:t xml:space="preserve">6. ИЗМЕНЕНИЕ И РАСТОРЖЕНИЕ ДОГОВОРА</w:t>
      </w:r>
    </w:p>
    <w:p>
      <w:pPr>
        <w:pStyle w:val="871"/>
        <w:ind w:firstLine="0"/>
        <w:jc w:val="both"/>
      </w:pPr>
    </w:p>
    <w:p>
      <w:pPr>
        <w:pStyle w:val="871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</w:p>
    <w:p>
      <w:pPr>
        <w:pStyle w:val="871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</w:p>
    <w:p>
      <w:pPr>
        <w:pStyle w:val="871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</w:t>
      </w:r>
    </w:p>
    <w:p>
      <w:pPr>
        <w:pStyle w:val="871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</w:t>
      </w:r>
    </w:p>
    <w:p>
      <w:pPr>
        <w:pStyle w:val="871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</w:t>
      </w:r>
    </w:p>
    <w:p>
      <w:pPr>
        <w:pStyle w:val="871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</w:p>
    <w:p>
      <w:pPr>
        <w:pStyle w:val="871"/>
        <w:ind w:firstLine="567"/>
        <w:jc w:val="both"/>
      </w:pPr>
      <w:r>
        <w:t xml:space="preserve">- задолженности по арендной плате за 2 месяца и более;</w:t>
      </w:r>
    </w:p>
    <w:p>
      <w:pPr>
        <w:pStyle w:val="871"/>
        <w:ind w:firstLine="567"/>
        <w:jc w:val="both"/>
      </w:pPr>
      <w:r>
        <w:t xml:space="preserve">- нарушения земельного законодательства;</w:t>
      </w:r>
    </w:p>
    <w:p>
      <w:pPr>
        <w:pStyle w:val="871"/>
        <w:ind w:firstLine="567"/>
        <w:jc w:val="both"/>
      </w:pPr>
      <w:r>
        <w:t xml:space="preserve">- нарушения  условий Договора;</w:t>
      </w:r>
    </w:p>
    <w:p>
      <w:pPr>
        <w:pStyle w:val="871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</w:p>
    <w:p>
      <w:pPr>
        <w:pStyle w:val="871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-142" w:leader="none"/>
        </w:tabs>
        <w:ind w:left="0" w:right="0" w:firstLine="0"/>
        <w:jc w:val="center"/>
      </w:pPr>
      <w:r>
        <w:t xml:space="preserve">7. ОСОБЫЕ УСЛОВИЯ ДОГОВОРА</w:t>
      </w:r>
    </w:p>
    <w:p>
      <w:pPr>
        <w:pStyle w:val="871"/>
        <w:ind w:firstLine="0"/>
        <w:jc w:val="both"/>
      </w:pP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t xml:space="preserve">7.1. </w:t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</w:t>
      </w:r>
      <w:r>
        <w:rPr>
          <w:highlight w:val="none"/>
        </w:rPr>
      </w:r>
      <w:r>
        <w:rPr>
          <w:highlight w:val="none"/>
        </w:rPr>
      </w:r>
    </w:p>
    <w:p>
      <w:pPr>
        <w:pStyle w:val="871"/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 </w:t>
      </w:r>
      <w:r>
        <w:t xml:space="preserve"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7.2.1. Полностью п</w:t>
      </w:r>
      <w:r>
        <w:rPr>
          <w:highlight w:val="none"/>
        </w:rPr>
        <w:t xml:space="preserve">риаэродромная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территория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(сектор 109)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(Стригино)» (с 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7.2.2. Полностью п</w:t>
      </w:r>
      <w:r>
        <w:t xml:space="preserve">риаэродромная</w:t>
      </w:r>
      <w:r>
        <w:t xml:space="preserve"> </w:t>
      </w:r>
      <w:r>
        <w:t xml:space="preserve">территория аэродрома</w:t>
      </w:r>
      <w:r>
        <w:t xml:space="preserve"> </w:t>
      </w:r>
      <w:r>
        <w:t xml:space="preserve">экспериментальной</w:t>
      </w:r>
      <w:r>
        <w:t xml:space="preserve"> </w:t>
      </w:r>
      <w:r>
        <w:t xml:space="preserve">авиации Нижний Новгород</w:t>
      </w:r>
      <w:r>
        <w:t xml:space="preserve"> </w:t>
      </w:r>
      <w:r>
        <w:t xml:space="preserve">(Сормово) (подзона 3,</w:t>
      </w:r>
      <w:r>
        <w:t xml:space="preserve"> </w:t>
      </w:r>
      <w:r>
        <w:t xml:space="preserve">внешняя горизонтальная</w:t>
      </w:r>
      <w:r>
        <w:t xml:space="preserve"> </w:t>
      </w:r>
      <w:r>
        <w:t xml:space="preserve">поверхность)</w:t>
      </w:r>
      <w:r>
        <w:t xml:space="preserve">. </w:t>
      </w:r>
      <w:r>
        <w:t xml:space="preserve">Приказ Министерства промышленности и</w:t>
      </w:r>
      <w:r>
        <w:t xml:space="preserve"> </w:t>
      </w:r>
      <w:r>
        <w:t xml:space="preserve">торговли Российской Федерации от</w:t>
      </w:r>
      <w:r>
        <w:t xml:space="preserve"> </w:t>
      </w:r>
      <w:r>
        <w:t xml:space="preserve">18.06.2024 № 2669 «Об установлении</w:t>
      </w:r>
      <w:r>
        <w:t xml:space="preserve"> </w:t>
      </w:r>
      <w:r>
        <w:t xml:space="preserve">приаэродромной территории аэродрома</w:t>
      </w:r>
      <w:r>
        <w:t xml:space="preserve"> </w:t>
      </w:r>
      <w:r>
        <w:t xml:space="preserve">экспериментальной авиации Нижний</w:t>
      </w:r>
      <w:r>
        <w:t xml:space="preserve"> </w:t>
      </w:r>
      <w:r>
        <w:t xml:space="preserve">Новгород (Сормово) в составе с 1 по 6</w:t>
      </w:r>
      <w:r>
        <w:t xml:space="preserve"> </w:t>
      </w:r>
      <w: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t xml:space="preserve">7.2.3. Полностью п</w:t>
      </w:r>
      <w:r>
        <w:t xml:space="preserve">риаэродромная</w:t>
      </w:r>
      <w:r>
        <w:t xml:space="preserve"> </w:t>
      </w:r>
      <w:r>
        <w:t xml:space="preserve">территория аэродрома</w:t>
      </w:r>
      <w:r>
        <w:t xml:space="preserve"> </w:t>
      </w:r>
      <w:r>
        <w:t xml:space="preserve">экспериментальной</w:t>
      </w:r>
      <w:r>
        <w:t xml:space="preserve"> </w:t>
      </w:r>
      <w:r>
        <w:t xml:space="preserve">авиации Нижний Новгород</w:t>
      </w:r>
      <w:r>
        <w:t xml:space="preserve"> </w:t>
      </w:r>
      <w:r>
        <w:t xml:space="preserve">(Сормово) (подзона 4,</w:t>
      </w:r>
      <w:r>
        <w:t xml:space="preserve"> </w:t>
      </w:r>
      <w:r>
        <w:t xml:space="preserve">сектор 14)</w:t>
      </w:r>
      <w:r>
        <w:t xml:space="preserve">. </w:t>
      </w:r>
      <w:r>
        <w:rPr>
          <w:highlight w:val="none"/>
        </w:rPr>
        <w:t xml:space="preserve">Приказ Министерства промышленности и</w:t>
      </w:r>
      <w:r>
        <w:rPr>
          <w:highlight w:val="none"/>
        </w:rPr>
        <w:t xml:space="preserve"> </w:t>
      </w:r>
      <w:r>
        <w:rPr>
          <w:highlight w:val="none"/>
        </w:rPr>
        <w:t xml:space="preserve">торговли Российской Федерации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18.06.2024 № 2669 «Об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авиации Нижний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Новгород (Сормово) в составе с 1 по 6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7.2.4. Полностью п</w:t>
      </w:r>
      <w:r>
        <w:t xml:space="preserve">риаэродромная</w:t>
      </w:r>
      <w:r>
        <w:t xml:space="preserve"> </w:t>
      </w:r>
      <w:r>
        <w:t xml:space="preserve">территория аэродрома</w:t>
      </w:r>
      <w:r>
        <w:t xml:space="preserve"> </w:t>
      </w:r>
      <w:r>
        <w:t xml:space="preserve">экспериментальной</w:t>
      </w:r>
      <w:r>
        <w:t xml:space="preserve"> </w:t>
      </w:r>
      <w:r>
        <w:t xml:space="preserve">авиации Нижний Новгород</w:t>
      </w:r>
      <w:r>
        <w:t xml:space="preserve"> </w:t>
      </w:r>
      <w:r>
        <w:t xml:space="preserve">(Сормово) (подзона 5)</w:t>
      </w:r>
      <w:r>
        <w:t xml:space="preserve">. </w:t>
      </w:r>
      <w:r>
        <w:t xml:space="preserve">Приказ Министерства промышленности и</w:t>
      </w:r>
      <w:r>
        <w:t xml:space="preserve"> </w:t>
      </w:r>
      <w:r>
        <w:t xml:space="preserve">торговли Российской Федерации от</w:t>
      </w:r>
      <w:r>
        <w:t xml:space="preserve"> </w:t>
      </w:r>
      <w:r>
        <w:t xml:space="preserve">18.06.2024 № 2669 «Об установлении</w:t>
      </w:r>
      <w:r>
        <w:t xml:space="preserve"> </w:t>
      </w:r>
      <w:r>
        <w:t xml:space="preserve">приаэродромной территории аэродрома</w:t>
      </w:r>
      <w:r>
        <w:t xml:space="preserve"> </w:t>
      </w:r>
      <w:r>
        <w:t xml:space="preserve">экспериментальной авиации Нижний</w:t>
      </w:r>
      <w:r>
        <w:t xml:space="preserve"> </w:t>
      </w:r>
      <w:r>
        <w:t xml:space="preserve">Новгород (Сормово) в составе с 1 по 6</w:t>
      </w:r>
      <w:r>
        <w:t xml:space="preserve"> </w:t>
      </w:r>
      <w:r>
        <w:t xml:space="preserve">подзону».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t xml:space="preserve">7.2.5. Полностью п</w:t>
      </w:r>
      <w:r>
        <w:t xml:space="preserve">риаэродромная</w:t>
      </w:r>
      <w:r>
        <w:t xml:space="preserve"> </w:t>
      </w:r>
      <w:r>
        <w:t xml:space="preserve">территория аэродрома</w:t>
      </w:r>
      <w:r>
        <w:t xml:space="preserve"> </w:t>
      </w:r>
      <w:r>
        <w:t xml:space="preserve">экспериментальной</w:t>
      </w:r>
      <w:r>
        <w:t xml:space="preserve"> </w:t>
      </w:r>
      <w:r>
        <w:t xml:space="preserve">авиации Нижний Новгород</w:t>
      </w:r>
      <w:r>
        <w:t xml:space="preserve"> </w:t>
      </w:r>
      <w:r>
        <w:t xml:space="preserve">(Сормово)</w:t>
      </w:r>
      <w:r>
        <w:t xml:space="preserve"> </w:t>
      </w:r>
      <w:r>
        <w:t xml:space="preserve">(подзона 6)</w:t>
      </w:r>
      <w:r>
        <w:t xml:space="preserve"> </w:t>
      </w:r>
      <w:r>
        <w:t xml:space="preserve">(подзона 6,</w:t>
      </w:r>
      <w:r>
        <w:t xml:space="preserve"> </w:t>
      </w:r>
      <w:r>
        <w:t xml:space="preserve">зона ограничений 10 км)</w:t>
      </w:r>
      <w:r>
        <w:t xml:space="preserve"> </w:t>
      </w:r>
      <w:r>
        <w:t xml:space="preserve">(подзона 6, зона</w:t>
      </w:r>
      <w:r>
        <w:t xml:space="preserve"> </w:t>
      </w:r>
      <w:r>
        <w:t xml:space="preserve">ограничений 7,5 км)</w:t>
      </w:r>
      <w:r>
        <w:t xml:space="preserve">. </w:t>
      </w:r>
      <w:r>
        <w:t xml:space="preserve">Приказ Министерства промышленности и</w:t>
      </w:r>
      <w:r>
        <w:t xml:space="preserve"> </w:t>
      </w:r>
      <w:r>
        <w:t xml:space="preserve">торговли Российской Федерации от</w:t>
      </w:r>
      <w:r>
        <w:t xml:space="preserve"> </w:t>
      </w:r>
      <w:r>
        <w:t xml:space="preserve">18.06.2024 № 2669 «Об установлении</w:t>
      </w:r>
      <w:r>
        <w:t xml:space="preserve"> </w:t>
      </w:r>
      <w:r>
        <w:t xml:space="preserve">приаэродромной территории аэродрома</w:t>
      </w:r>
      <w:r>
        <w:t xml:space="preserve"> </w:t>
      </w:r>
      <w:r>
        <w:t xml:space="preserve">экспериментальной авиации Нижний</w:t>
      </w:r>
      <w:r>
        <w:t xml:space="preserve"> </w:t>
      </w:r>
      <w:r>
        <w:t xml:space="preserve">Новгород (Сормово) в составе с 1 по 6</w:t>
      </w:r>
      <w:r>
        <w:t xml:space="preserve"> </w:t>
      </w:r>
      <w:r>
        <w:t xml:space="preserve">подзону».</w:t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t xml:space="preserve">7.2.6. Частично з</w:t>
      </w:r>
      <w:r>
        <w:t xml:space="preserve">она умеренного</w:t>
      </w:r>
      <w:r>
        <w:t xml:space="preserve"> </w:t>
      </w:r>
      <w:r>
        <w:t xml:space="preserve">подтопления,</w:t>
      </w:r>
      <w:r>
        <w:t xml:space="preserve"> </w:t>
      </w:r>
      <w:r>
        <w:t xml:space="preserve">установленная в</w:t>
      </w:r>
      <w:r>
        <w:t xml:space="preserve"> </w:t>
      </w:r>
      <w:r>
        <w:t xml:space="preserve">отношении территорий</w:t>
      </w:r>
      <w:r>
        <w:t xml:space="preserve"> </w:t>
      </w:r>
      <w:r>
        <w:t xml:space="preserve">г.Н.Новгород городского</w:t>
      </w:r>
      <w:r>
        <w:t xml:space="preserve"> </w:t>
      </w:r>
      <w:r>
        <w:t xml:space="preserve">округа Нижний Новгород</w:t>
      </w:r>
      <w:r>
        <w:t xml:space="preserve"> </w:t>
      </w:r>
      <w:r>
        <w:t xml:space="preserve">Нижегородской области,</w:t>
      </w:r>
      <w:r>
        <w:t xml:space="preserve"> </w:t>
      </w:r>
      <w:r>
        <w:t xml:space="preserve">прилегающих к р.Волга</w:t>
      </w:r>
      <w:r>
        <w:t xml:space="preserve"> </w:t>
      </w:r>
      <w:r>
        <w:t xml:space="preserve">(Чебоксарское</w:t>
      </w:r>
      <w:r>
        <w:t xml:space="preserve"> </w:t>
      </w:r>
      <w:r>
        <w:t xml:space="preserve">водохранилище),</w:t>
      </w:r>
      <w:r>
        <w:t xml:space="preserve"> </w:t>
      </w:r>
      <w:r>
        <w:t xml:space="preserve">затапливаемых при</w:t>
      </w:r>
      <w:r>
        <w:t xml:space="preserve"> </w:t>
      </w:r>
      <w:r>
        <w:t xml:space="preserve">половодьях и паводках 1%</w:t>
      </w:r>
      <w:r>
        <w:t xml:space="preserve"> </w:t>
      </w:r>
      <w:r>
        <w:t xml:space="preserve">обеспеченности с учетом</w:t>
      </w:r>
      <w:r>
        <w:t xml:space="preserve"> </w:t>
      </w:r>
      <w:r>
        <w:t xml:space="preserve">фактически</w:t>
      </w:r>
      <w:r>
        <w:t xml:space="preserve"> </w:t>
      </w:r>
      <w:r>
        <w:t xml:space="preserve">затапливаемых</w:t>
      </w:r>
      <w:r>
        <w:t xml:space="preserve"> </w:t>
      </w:r>
      <w:r>
        <w:t xml:space="preserve">территорий за</w:t>
      </w:r>
      <w:r>
        <w:t xml:space="preserve"> </w:t>
      </w:r>
      <w:r>
        <w:t xml:space="preserve">предыдущие 100 лет</w:t>
      </w:r>
      <w:r>
        <w:t xml:space="preserve"> </w:t>
      </w:r>
      <w:r>
        <w:t xml:space="preserve">наблюдений (реестровый</w:t>
      </w:r>
      <w:r>
        <w:t xml:space="preserve"> </w:t>
      </w:r>
      <w:r>
        <w:t xml:space="preserve">номер: 52:18-6.4775)</w:t>
      </w:r>
      <w:r>
        <w:t xml:space="preserve">. </w:t>
      </w:r>
      <w:r>
        <w:t xml:space="preserve">Приказ Верхне-Волжского бассейнового</w:t>
      </w:r>
      <w:r>
        <w:t xml:space="preserve"> </w:t>
      </w:r>
      <w:r>
        <w:t xml:space="preserve">водного управления Федерального</w:t>
      </w:r>
      <w:r>
        <w:t xml:space="preserve"> </w:t>
      </w:r>
      <w:r>
        <w:t xml:space="preserve">Агентства водных ресурсов от 18.06.2024</w:t>
      </w:r>
      <w:r>
        <w:t xml:space="preserve"> №</w:t>
      </w:r>
      <w:r>
        <w:t xml:space="preserve"> 279 «Об установлении зоны</w:t>
      </w:r>
      <w:r>
        <w:t xml:space="preserve"> </w:t>
      </w:r>
      <w:r>
        <w:t xml:space="preserve">подтопления рекой Волга (Чебоксарское</w:t>
      </w:r>
      <w:r>
        <w:t xml:space="preserve"> </w:t>
      </w:r>
      <w:r>
        <w:t xml:space="preserve">водохранилище) территории города</w:t>
      </w:r>
      <w:r>
        <w:t xml:space="preserve"> </w:t>
      </w:r>
      <w:r>
        <w:t xml:space="preserve">Нижний Новгород Нижегородской</w:t>
      </w:r>
      <w:r>
        <w:t xml:space="preserve"> </w:t>
      </w:r>
      <w:r>
        <w:t xml:space="preserve">области»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  <w:rPr>
          <w:highlight w:val="none"/>
        </w:rPr>
      </w:pPr>
      <w:r>
        <w:rPr>
          <w:highlight w:val="none"/>
        </w:rPr>
        <w:t xml:space="preserve">7.2.7. Частично з</w:t>
      </w:r>
      <w:r>
        <w:rPr>
          <w:highlight w:val="none"/>
        </w:rPr>
        <w:t xml:space="preserve">она слабого подтопления,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установленная в</w:t>
      </w:r>
      <w:r>
        <w:rPr>
          <w:highlight w:val="none"/>
        </w:rPr>
        <w:t xml:space="preserve"> </w:t>
      </w:r>
      <w:r>
        <w:rPr>
          <w:highlight w:val="none"/>
        </w:rPr>
        <w:t xml:space="preserve">отношении 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г.Н.Новгород городского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округа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прилегающих к р.Волга</w:t>
      </w:r>
      <w:r>
        <w:rPr>
          <w:highlight w:val="none"/>
        </w:rPr>
        <w:t xml:space="preserve"> </w:t>
      </w:r>
      <w:r>
        <w:rPr>
          <w:highlight w:val="none"/>
        </w:rPr>
        <w:t xml:space="preserve">(Чебоксарское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водохранилище),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 половодьях и паводках</w:t>
      </w:r>
      <w:r>
        <w:rPr>
          <w:highlight w:val="none"/>
        </w:rPr>
        <w:t xml:space="preserve"> </w:t>
      </w:r>
      <w:r>
        <w:rPr>
          <w:highlight w:val="none"/>
        </w:rPr>
        <w:t xml:space="preserve">1% обеспеченности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учетом фактически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территорий за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предыдущие 100 лет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наблюдений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(реестровый номер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52:18-6.4774)</w:t>
      </w:r>
      <w:r>
        <w:rPr>
          <w:highlight w:val="none"/>
        </w:rPr>
        <w:t xml:space="preserve">. </w:t>
      </w:r>
      <w:r>
        <w:t xml:space="preserve">Приказ Верхне-Волжского бассейнового</w:t>
      </w:r>
      <w:r>
        <w:t xml:space="preserve"> </w:t>
      </w:r>
      <w:r>
        <w:t xml:space="preserve">водного управления Федерального</w:t>
      </w:r>
      <w:r>
        <w:t xml:space="preserve"> </w:t>
      </w:r>
      <w:r>
        <w:t xml:space="preserve">Агентства водных ресурсов от 18.06.2024</w:t>
      </w:r>
      <w:r>
        <w:t xml:space="preserve"> №</w:t>
      </w:r>
      <w:r>
        <w:t xml:space="preserve"> 279 «Об установлении зоны</w:t>
      </w:r>
      <w:r>
        <w:t xml:space="preserve"> </w:t>
      </w:r>
      <w:r>
        <w:t xml:space="preserve">подтопления рекой Волга (Чебоксарское</w:t>
      </w:r>
      <w:r>
        <w:t xml:space="preserve"> </w:t>
      </w:r>
      <w:r>
        <w:t xml:space="preserve">водохранилище) территории города</w:t>
      </w:r>
      <w:r>
        <w:t xml:space="preserve"> </w:t>
      </w:r>
      <w:r>
        <w:t xml:space="preserve">Нижний Новгород Нижегородской</w:t>
      </w:r>
      <w:r>
        <w:t xml:space="preserve"> </w:t>
      </w:r>
      <w:r>
        <w:t xml:space="preserve">области»</w:t>
      </w:r>
      <w: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tabs>
          <w:tab w:val="left" w:pos="851" w:leader="none"/>
          <w:tab w:val="left" w:pos="993" w:leader="none"/>
        </w:tabs>
        <w:ind w:firstLine="567"/>
        <w:jc w:val="both"/>
      </w:pPr>
      <w:r>
        <w:t xml:space="preserve">7.2.8. Полностью з</w:t>
      </w:r>
      <w:r>
        <w:t xml:space="preserve">она санитарной охраны</w:t>
      </w:r>
      <w:r>
        <w:t xml:space="preserve"> </w:t>
      </w:r>
      <w:r>
        <w:t xml:space="preserve">поверхностного источника</w:t>
      </w:r>
      <w:r>
        <w:t xml:space="preserve"> </w:t>
      </w:r>
      <w:r>
        <w:t xml:space="preserve">хозяйственно-питьевого</w:t>
      </w:r>
      <w:r>
        <w:t xml:space="preserve"> </w:t>
      </w:r>
      <w:r>
        <w:t xml:space="preserve">водоснабжения (р. Волга)</w:t>
      </w:r>
      <w:r>
        <w:t xml:space="preserve"> </w:t>
      </w:r>
      <w:r>
        <w:t xml:space="preserve">(2, 3 пояс) для водозабора</w:t>
      </w:r>
      <w:r>
        <w:t xml:space="preserve"> </w:t>
      </w:r>
      <w:r>
        <w:t xml:space="preserve">АО «НЗ 70-летия Победы»</w:t>
      </w:r>
      <w:r>
        <w:t xml:space="preserve"> </w:t>
      </w:r>
      <w:r>
        <w:t xml:space="preserve">(реестровые номера:</w:t>
      </w:r>
      <w:r>
        <w:t xml:space="preserve"> </w:t>
      </w:r>
      <w:r>
        <w:t xml:space="preserve">52:00-6.1160, 52:00-6.1162)</w:t>
      </w:r>
      <w:r>
        <w:t xml:space="preserve">. </w:t>
      </w:r>
      <w:r>
        <w:t xml:space="preserve">Приказ Министерства экологии и</w:t>
      </w:r>
      <w:r>
        <w:t xml:space="preserve"> </w:t>
      </w:r>
      <w:r>
        <w:t xml:space="preserve">природных ресурсов Нижегородской</w:t>
      </w:r>
      <w:r>
        <w:t xml:space="preserve"> </w:t>
      </w:r>
      <w:r>
        <w:t xml:space="preserve">области от 06.06.2023 № 319-138/23П/од</w:t>
      </w:r>
      <w:r>
        <w:t xml:space="preserve"> «</w:t>
      </w:r>
      <w:r>
        <w:t xml:space="preserve">Об установлении зон санитарной охраны</w:t>
      </w:r>
      <w:r>
        <w:t xml:space="preserve"> </w:t>
      </w:r>
      <w:r>
        <w:t xml:space="preserve">поверхностного источника хозяйственно-</w:t>
      </w:r>
      <w:r>
        <w:t xml:space="preserve">питьевого водоснабжения (р. Волга) для</w:t>
      </w:r>
      <w:r>
        <w:t xml:space="preserve"> </w:t>
      </w:r>
      <w:r>
        <w:t xml:space="preserve">водозабора АО «НЗ 70-летия Победы»,</w:t>
      </w:r>
      <w:r>
        <w:t xml:space="preserve"> </w:t>
      </w:r>
      <w:r>
        <w:t xml:space="preserve">расположенного в Сормовском районе г.</w:t>
      </w:r>
      <w:r>
        <w:t xml:space="preserve"> </w:t>
      </w:r>
      <w:r>
        <w:t xml:space="preserve">Нижнего Новгорода».</w:t>
      </w:r>
    </w:p>
    <w:p>
      <w:pPr>
        <w:tabs>
          <w:tab w:val="left" w:pos="851" w:leader="none"/>
          <w:tab w:val="left" w:pos="993" w:leader="none"/>
        </w:tabs>
        <w:ind w:firstLine="0"/>
        <w:jc w:val="both"/>
      </w:pPr>
      <w:r>
        <w:rPr>
          <w:highlight w:val="none"/>
        </w:rPr>
      </w:r>
      <w:r>
        <w:rPr>
          <w:highlight w:val="none"/>
        </w:rPr>
      </w:r>
    </w:p>
    <w:p>
      <w:pPr>
        <w:pStyle w:val="871"/>
        <w:tabs>
          <w:tab w:val="left" w:pos="-142" w:leader="none"/>
        </w:tabs>
        <w:jc w:val="center"/>
      </w:pPr>
      <w:r>
        <w:t xml:space="preserve">8. ПРОЧИЕ УСЛОВИЯ ДОГОВОРА</w:t>
      </w:r>
    </w:p>
    <w:p>
      <w:pPr>
        <w:pStyle w:val="871"/>
        <w:tabs>
          <w:tab w:val="left" w:pos="426" w:leader="none"/>
        </w:tabs>
        <w:ind w:firstLine="0"/>
        <w:jc w:val="both"/>
      </w:pP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</w:p>
    <w:p>
      <w:pPr>
        <w:pStyle w:val="871"/>
        <w:tabs>
          <w:tab w:val="left" w:pos="426" w:leader="none"/>
        </w:tabs>
        <w:ind w:firstLine="567"/>
        <w:jc w:val="both"/>
      </w:pPr>
      <w:r>
        <w:t xml:space="preserve">8.2. Окончание срока аренды не влечет прекращения обязательств сторон по настоящему Договору.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8.4. Неотъемлемой частью Договора являются приложения №№ 1, 2.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9. ПРИЛОЖЕНИЯ К НАСТОЯЩЕМУ ДОГОВОРУ:</w:t>
      </w:r>
    </w:p>
    <w:p>
      <w:pPr>
        <w:pStyle w:val="871"/>
        <w:tabs>
          <w:tab w:val="left" w:pos="-142" w:leader="none"/>
        </w:tabs>
        <w:ind w:firstLine="0"/>
        <w:jc w:val="both"/>
      </w:pPr>
    </w:p>
    <w:p>
      <w:pPr>
        <w:pStyle w:val="871"/>
        <w:ind w:firstLine="567"/>
        <w:jc w:val="both"/>
      </w:pPr>
      <w:r>
        <w:t xml:space="preserve">9.1. Приложение №1 – выписка из ЕГРН на Участок. </w:t>
      </w:r>
    </w:p>
    <w:p>
      <w:pPr>
        <w:pStyle w:val="871"/>
        <w:ind w:firstLine="567"/>
        <w:jc w:val="both"/>
      </w:pPr>
      <w:r>
        <w:t xml:space="preserve">9.2. Приложение №2  – акт приема-передачи Участка. </w:t>
      </w:r>
    </w:p>
    <w:p>
      <w:pPr>
        <w:pStyle w:val="871"/>
        <w:tabs>
          <w:tab w:val="left" w:pos="-142" w:leader="none"/>
        </w:tabs>
      </w:pPr>
    </w:p>
    <w:p>
      <w:pPr>
        <w:pStyle w:val="871"/>
        <w:tabs>
          <w:tab w:val="left" w:pos="-142" w:leader="none"/>
        </w:tabs>
        <w:jc w:val="center"/>
      </w:pPr>
      <w:r>
        <w:t xml:space="preserve">10. АДРЕСА, РЕКВИЗИТЫ И ПОДПИСИ СТОРОН</w:t>
      </w:r>
      <w:r>
        <w:t xml:space="preserve">:</w:t>
      </w:r>
    </w:p>
    <w:p>
      <w:pPr>
        <w:pStyle w:val="871"/>
        <w:ind w:firstLine="708"/>
        <w:jc w:val="both"/>
      </w:pPr>
    </w:p>
    <w:p>
      <w:pPr>
        <w:pStyle w:val="871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</w:p>
    <w:p>
      <w:pPr>
        <w:pStyle w:val="871"/>
        <w:jc w:val="both"/>
      </w:pPr>
      <w:r>
        <w:t xml:space="preserve">Администрация города Нижнего Новгорода</w:t>
      </w:r>
    </w:p>
    <w:p>
      <w:pPr>
        <w:pStyle w:val="871"/>
        <w:jc w:val="both"/>
      </w:pPr>
      <w:r>
        <w:t xml:space="preserve">Юридический адрес: 603082, г. Нижний Новгород, Кремль, корпус 5.</w:t>
      </w:r>
    </w:p>
    <w:p>
      <w:pPr>
        <w:pStyle w:val="871"/>
        <w:jc w:val="both"/>
      </w:pPr>
      <w:r>
        <w:t xml:space="preserve">Получатель арендной платы:</w:t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Банк: </w:t>
      </w:r>
      <w:r>
        <w:rPr>
          <w:color w:val="000000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widowControl w:val="off"/>
        <w:jc w:val="both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jc w:val="both"/>
      </w:pPr>
      <w:r>
        <w:rPr>
          <w:color w:val="000000"/>
        </w:rPr>
        <w:t xml:space="preserve">ОКТМО: </w:t>
      </w:r>
      <w:r>
        <w:t xml:space="preserve">22701000;</w:t>
      </w:r>
    </w:p>
    <w:p>
      <w:pPr>
        <w:pStyle w:val="871"/>
        <w:jc w:val="both"/>
      </w:pPr>
      <w:r>
        <w:t xml:space="preserve">код бюджетной классификации (КБК) - 366 111 05 024</w:t>
      </w:r>
      <w:r>
        <w:t xml:space="preserve"> 04 1000 120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jc w:val="both"/>
      </w:pPr>
      <w:r>
        <w:tab/>
        <w:t xml:space="preserve">Арендатор: 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2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871"/>
        <w:tabs>
          <w:tab w:val="left" w:pos="-142" w:leader="none"/>
        </w:tabs>
        <w:jc w:val="center"/>
      </w:pPr>
      <w:r>
        <w:t xml:space="preserve">ПОДПИСИ СТОРОН:</w:t>
      </w:r>
    </w:p>
    <w:p>
      <w:pPr>
        <w:pStyle w:val="871"/>
        <w:tabs>
          <w:tab w:val="left" w:pos="-142" w:leader="none"/>
        </w:tabs>
        <w:jc w:val="center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>
      <w:pPr>
        <w:pStyle w:val="871"/>
        <w:tabs>
          <w:tab w:val="left" w:pos="-142" w:leader="none"/>
        </w:tabs>
        <w:ind w:firstLine="567"/>
        <w:jc w:val="right"/>
      </w:pPr>
      <w:r>
        <w:br w:type="page" w:clear="all"/>
      </w:r>
      <w:r>
        <w:t xml:space="preserve">Приложение №</w:t>
      </w:r>
      <w:r>
        <w:t xml:space="preserve">2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</w:p>
    <w:p>
      <w:pPr>
        <w:pStyle w:val="871"/>
        <w:tabs>
          <w:tab w:val="left" w:pos="-142" w:leader="none"/>
        </w:tabs>
        <w:ind w:firstLine="567"/>
        <w:jc w:val="right"/>
      </w:pPr>
      <w:r>
        <w:t xml:space="preserve">от</w:t>
      </w:r>
      <w:r>
        <w:t xml:space="preserve"> «_____»_________</w:t>
      </w:r>
      <w:r>
        <w:t xml:space="preserve">__20___г.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А К Т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ПРИЕМА-ПЕРЕДАЧИ ЗЕМЕЛЬНОГО УЧАСТКА</w:t>
      </w:r>
    </w:p>
    <w:p>
      <w:pPr>
        <w:pStyle w:val="871"/>
        <w:tabs>
          <w:tab w:val="left" w:pos="-142" w:leader="none"/>
        </w:tabs>
        <w:ind w:firstLine="567"/>
        <w:jc w:val="center"/>
      </w:pPr>
      <w:r>
        <w:t xml:space="preserve">«____» _____________20___ г. </w:t>
      </w: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right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p>
      <w:pPr>
        <w:pStyle w:val="918"/>
        <w:tabs>
          <w:tab w:val="left" w:pos="851" w:leader="none"/>
        </w:tabs>
        <w:ind w:left="567" w:right="0" w:firstLine="0"/>
        <w:jc w:val="both"/>
        <w:rPr>
          <w:color w:val="000000"/>
        </w:rPr>
      </w:pPr>
      <w:r>
        <w:rPr>
          <w:color w:val="000000"/>
        </w:rPr>
        <w:t xml:space="preserve">1.  Местоположение: </w:t>
      </w:r>
      <w:r>
        <w:t xml:space="preserve">Российская Фе</w:t>
      </w:r>
      <w:r>
        <w:t xml:space="preserve">дерация, Нижегородская область, г.о город Нижний Новгород, г Нижний Новгород,</w:t>
      </w:r>
      <w:r>
        <w:t xml:space="preserve"> </w:t>
      </w:r>
      <w:r>
        <w:t xml:space="preserve">ул.Добровольцев, земельный участок 46Б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52:18:0010411:196;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774 кв.м.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1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86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2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noWrap w:val="false"/>
            <w:textDirection w:val="lrTb"/>
            <w:vAlign w:val="center"/>
          </w:tcPr>
          <w:p>
            <w:pPr>
              <w:pStyle w:val="87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71"/>
        <w:ind w:firstLine="567"/>
      </w:pPr>
      <w:r>
        <w:t xml:space="preserve">Прочие</w:t>
      </w:r>
    </w:p>
    <w:p>
      <w:pPr>
        <w:pStyle w:val="871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010"/>
        <w:gridCol w:w="3201"/>
        <w:gridCol w:w="1339"/>
      </w:tblGrid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Раздел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Площадь (кв.м.)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Содержание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Основание</w:t>
            </w:r>
          </w:p>
        </w:tc>
      </w:tr>
      <w:tr>
        <w:trPr/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04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2010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3201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  <w:tc>
          <w:tcPr>
            <w:tcW w:w="1339" w:type="dxa"/>
            <w:noWrap w:val="false"/>
            <w:textDirection w:val="lrTb"/>
            <w:vAlign w:val="top"/>
          </w:tcPr>
          <w:p>
            <w:pPr>
              <w:pStyle w:val="871"/>
              <w:jc w:val="center"/>
            </w:pPr>
            <w:r>
              <w:t xml:space="preserve">-</w:t>
            </w:r>
          </w:p>
        </w:tc>
      </w:tr>
    </w:tbl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</w:p>
    <w:p>
      <w:pPr>
        <w:pStyle w:val="871"/>
        <w:tabs>
          <w:tab w:val="left" w:pos="-142" w:leader="none"/>
        </w:tabs>
        <w:jc w:val="both"/>
      </w:pPr>
    </w:p>
    <w:p>
      <w:pPr>
        <w:pStyle w:val="871"/>
        <w:tabs>
          <w:tab w:val="left" w:pos="-142" w:leader="none"/>
        </w:tabs>
        <w:ind w:firstLine="567"/>
        <w:jc w:val="both"/>
      </w:pPr>
      <w:r>
        <w:t xml:space="preserve">Настоящий акт является неотъемлемой частью договора аренды.</w:t>
      </w:r>
    </w:p>
    <w:p>
      <w:pPr>
        <w:pStyle w:val="871"/>
        <w:tabs>
          <w:tab w:val="left" w:pos="-142" w:leader="none"/>
        </w:tabs>
        <w:ind w:firstLine="567"/>
        <w:jc w:val="both"/>
      </w:pP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rPr>
          <w:trHeight w:val="1947"/>
        </w:trPr>
        <w:tblPrEx/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Арендодатель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t xml:space="preserve">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both"/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        (подпись)</w:t>
            </w:r>
          </w:p>
          <w:p>
            <w:pPr>
              <w:pStyle w:val="871"/>
              <w:tabs>
                <w:tab w:val="left" w:pos="-142" w:leader="none"/>
              </w:tabs>
            </w:pPr>
            <w:r>
              <w:t xml:space="preserve">                            м.п.</w:t>
            </w:r>
          </w:p>
        </w:tc>
        <w:tc>
          <w:tcPr>
            <w:tcW w:w="516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Арендатор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________________________________</w:t>
            </w:r>
          </w:p>
          <w:p>
            <w:pPr>
              <w:pStyle w:val="871"/>
              <w:tabs>
                <w:tab w:val="left" w:pos="-142" w:leader="none"/>
              </w:tabs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1"/>
              <w:tabs>
                <w:tab w:val="left" w:pos="-142" w:leader="none"/>
              </w:tabs>
              <w:jc w:val="center"/>
            </w:pPr>
            <w:r>
              <w:t xml:space="preserve">             м.п.</w:t>
            </w:r>
          </w:p>
        </w:tc>
      </w:tr>
    </w:tbl>
    <w:p/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tabs>
          <w:tab w:val="num" w:pos="1080" w:leader="none"/>
        </w:tabs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tabs>
          <w:tab w:val="num" w:pos="1800" w:leader="none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tabs>
          <w:tab w:val="num" w:pos="2520" w:leader="none"/>
        </w:tabs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tabs>
          <w:tab w:val="num" w:pos="3240" w:leader="none"/>
        </w:tabs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tabs>
          <w:tab w:val="num" w:pos="3960" w:leader="none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tabs>
          <w:tab w:val="num" w:pos="4680" w:leader="none"/>
        </w:tabs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tabs>
          <w:tab w:val="num" w:pos="5400" w:leader="none"/>
        </w:tabs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tabs>
          <w:tab w:val="num" w:pos="6120" w:leader="none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tabs>
          <w:tab w:val="num" w:pos="6840" w:leader="none"/>
        </w:tabs>
        <w:ind w:left="684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7"/>
      <w:isLgl w:val="false"/>
      <w:suff w:val="tab"/>
      <w:lvlText w:val="%1."/>
      <w:lvlJc w:val="left"/>
      <w:pPr>
        <w:tabs>
          <w:tab w:val="num" w:pos="432" w:leader="none"/>
        </w:tabs>
        <w:ind w:left="432" w:hanging="432"/>
      </w:pPr>
      <w:rPr>
        <w:rFonts w:cs="Times New Roman"/>
      </w:rPr>
    </w:lvl>
    <w:lvl w:ilvl="1">
      <w:start w:val="1"/>
      <w:numFmt w:val="decimal"/>
      <w:pStyle w:val="898"/>
      <w:isLgl w:val="false"/>
      <w:suff w:val="tab"/>
      <w:lvlText w:val="%1.%2"/>
      <w:lvlJc w:val="left"/>
      <w:pPr>
        <w:tabs>
          <w:tab w:val="num" w:pos="1836" w:leader="none"/>
        </w:tabs>
        <w:ind w:left="1836" w:hanging="576"/>
      </w:pPr>
      <w:rPr>
        <w:rFonts w:cs="Times New Roman"/>
      </w:rPr>
    </w:lvl>
    <w:lvl w:ilvl="2">
      <w:start w:val="1"/>
      <w:numFmt w:val="decimal"/>
      <w:pStyle w:val="900"/>
      <w:isLgl w:val="false"/>
      <w:suff w:val="tab"/>
      <w:lvlText w:val="%1.%2.%3"/>
      <w:lvlJc w:val="left"/>
      <w:pPr>
        <w:tabs>
          <w:tab w:val="num" w:pos="1307" w:leader="none"/>
        </w:tabs>
        <w:ind w:left="108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tabs>
          <w:tab w:val="num" w:pos="864" w:leader="none"/>
        </w:tabs>
        <w:ind w:left="864" w:hanging="864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tabs>
          <w:tab w:val="num" w:pos="1008" w:leader="none"/>
        </w:tabs>
        <w:ind w:left="1008" w:hanging="1008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tabs>
          <w:tab w:val="num" w:pos="1152" w:leader="none"/>
        </w:tabs>
        <w:ind w:left="1152" w:hanging="1152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tabs>
          <w:tab w:val="num" w:pos="1296" w:leader="none"/>
        </w:tabs>
        <w:ind w:left="1296" w:hanging="1296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tabs>
          <w:tab w:val="num" w:pos="1440" w:leader="none"/>
        </w:tabs>
        <w:ind w:left="1440" w:hanging="144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tabs>
          <w:tab w:val="num" w:pos="1584" w:leader="none"/>
        </w:tabs>
        <w:ind w:left="1584" w:hanging="1584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3">
    <w:name w:val="Heading 1"/>
    <w:basedOn w:val="871"/>
    <w:next w:val="871"/>
    <w:link w:val="69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4">
    <w:name w:val="Heading 1 Char"/>
    <w:link w:val="693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71"/>
    <w:next w:val="871"/>
    <w:link w:val="6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71"/>
    <w:next w:val="871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71"/>
    <w:next w:val="871"/>
    <w:link w:val="70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71"/>
    <w:next w:val="871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71"/>
    <w:next w:val="871"/>
    <w:link w:val="70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71"/>
    <w:next w:val="871"/>
    <w:link w:val="7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71"/>
    <w:next w:val="871"/>
    <w:link w:val="70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71"/>
    <w:next w:val="871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List Paragraph"/>
    <w:basedOn w:val="871"/>
    <w:uiPriority w:val="34"/>
    <w:qFormat/>
    <w:pPr>
      <w:ind w:left="720"/>
      <w:contextualSpacing/>
    </w:pPr>
  </w:style>
  <w:style w:type="paragraph" w:styleId="712">
    <w:name w:val="No Spacing"/>
    <w:uiPriority w:val="1"/>
    <w:qFormat/>
    <w:pPr>
      <w:spacing w:before="0" w:after="0" w:line="240" w:lineRule="auto"/>
    </w:pPr>
  </w:style>
  <w:style w:type="paragraph" w:styleId="713">
    <w:name w:val="Title"/>
    <w:basedOn w:val="871"/>
    <w:next w:val="871"/>
    <w:link w:val="71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4">
    <w:name w:val="Title Char"/>
    <w:link w:val="713"/>
    <w:uiPriority w:val="10"/>
    <w:rPr>
      <w:sz w:val="48"/>
      <w:szCs w:val="48"/>
    </w:rPr>
  </w:style>
  <w:style w:type="paragraph" w:styleId="715">
    <w:name w:val="Subtitle"/>
    <w:basedOn w:val="871"/>
    <w:next w:val="871"/>
    <w:link w:val="716"/>
    <w:uiPriority w:val="11"/>
    <w:qFormat/>
    <w:pPr>
      <w:spacing w:before="200" w:after="200"/>
    </w:pPr>
    <w:rPr>
      <w:sz w:val="24"/>
      <w:szCs w:val="24"/>
    </w:rPr>
  </w:style>
  <w:style w:type="character" w:styleId="716">
    <w:name w:val="Subtitle Char"/>
    <w:link w:val="715"/>
    <w:uiPriority w:val="11"/>
    <w:rPr>
      <w:sz w:val="24"/>
      <w:szCs w:val="24"/>
    </w:rPr>
  </w:style>
  <w:style w:type="paragraph" w:styleId="717">
    <w:name w:val="Quote"/>
    <w:basedOn w:val="871"/>
    <w:next w:val="871"/>
    <w:link w:val="718"/>
    <w:uiPriority w:val="29"/>
    <w:qFormat/>
    <w:pPr>
      <w:ind w:left="720" w:right="720"/>
    </w:pPr>
    <w:rPr>
      <w:i/>
    </w:rPr>
  </w:style>
  <w:style w:type="character" w:styleId="718">
    <w:name w:val="Quote Char"/>
    <w:link w:val="717"/>
    <w:uiPriority w:val="29"/>
    <w:rPr>
      <w:i/>
    </w:rPr>
  </w:style>
  <w:style w:type="paragraph" w:styleId="719">
    <w:name w:val="Intense Quote"/>
    <w:basedOn w:val="871"/>
    <w:next w:val="871"/>
    <w:link w:val="72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20">
    <w:name w:val="Intense Quote Char"/>
    <w:link w:val="719"/>
    <w:uiPriority w:val="30"/>
    <w:rPr>
      <w:i/>
    </w:rPr>
  </w:style>
  <w:style w:type="paragraph" w:styleId="721">
    <w:name w:val="Header"/>
    <w:basedOn w:val="871"/>
    <w:link w:val="72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2">
    <w:name w:val="Header Char"/>
    <w:link w:val="721"/>
    <w:uiPriority w:val="99"/>
  </w:style>
  <w:style w:type="paragraph" w:styleId="723">
    <w:name w:val="Footer"/>
    <w:basedOn w:val="871"/>
    <w:link w:val="724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24">
    <w:name w:val="Footer Char"/>
    <w:link w:val="723"/>
    <w:uiPriority w:val="99"/>
  </w:style>
  <w:style w:type="paragraph" w:styleId="725">
    <w:name w:val="Caption"/>
    <w:basedOn w:val="871"/>
    <w:next w:val="871"/>
    <w:link w:val="72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>
    <w:name w:val="Caption Char"/>
    <w:link w:val="72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6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6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6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6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6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3">
    <w:name w:val="Hyperlink"/>
    <w:uiPriority w:val="99"/>
    <w:unhideWhenUsed/>
    <w:rPr>
      <w:color w:val="0000ff" w:themeColor="hyperlink"/>
      <w:u w:val="single"/>
    </w:r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spacing w:after="57"/>
      <w:ind w:left="0" w:right="0" w:firstLine="0"/>
    </w:pPr>
  </w:style>
  <w:style w:type="paragraph" w:styleId="861">
    <w:name w:val="toc 2"/>
    <w:basedOn w:val="871"/>
    <w:next w:val="871"/>
    <w:uiPriority w:val="39"/>
    <w:unhideWhenUsed/>
    <w:pPr>
      <w:spacing w:after="57"/>
      <w:ind w:left="283" w:right="0" w:firstLine="0"/>
    </w:pPr>
  </w:style>
  <w:style w:type="paragraph" w:styleId="862">
    <w:name w:val="toc 3"/>
    <w:basedOn w:val="871"/>
    <w:next w:val="871"/>
    <w:uiPriority w:val="39"/>
    <w:unhideWhenUsed/>
    <w:pPr>
      <w:spacing w:after="57"/>
      <w:ind w:left="567" w:right="0" w:firstLine="0"/>
    </w:pPr>
  </w:style>
  <w:style w:type="paragraph" w:styleId="863">
    <w:name w:val="toc 4"/>
    <w:basedOn w:val="871"/>
    <w:next w:val="871"/>
    <w:uiPriority w:val="39"/>
    <w:unhideWhenUsed/>
    <w:pPr>
      <w:spacing w:after="57"/>
      <w:ind w:left="850" w:right="0" w:firstLine="0"/>
    </w:pPr>
  </w:style>
  <w:style w:type="paragraph" w:styleId="864">
    <w:name w:val="toc 5"/>
    <w:basedOn w:val="871"/>
    <w:next w:val="871"/>
    <w:uiPriority w:val="39"/>
    <w:unhideWhenUsed/>
    <w:pPr>
      <w:spacing w:after="57"/>
      <w:ind w:left="1134" w:right="0" w:firstLine="0"/>
    </w:pPr>
  </w:style>
  <w:style w:type="paragraph" w:styleId="865">
    <w:name w:val="toc 6"/>
    <w:basedOn w:val="871"/>
    <w:next w:val="871"/>
    <w:uiPriority w:val="39"/>
    <w:unhideWhenUsed/>
    <w:pPr>
      <w:spacing w:after="57"/>
      <w:ind w:left="1417" w:right="0" w:firstLine="0"/>
    </w:pPr>
  </w:style>
  <w:style w:type="paragraph" w:styleId="866">
    <w:name w:val="toc 7"/>
    <w:basedOn w:val="871"/>
    <w:next w:val="871"/>
    <w:uiPriority w:val="39"/>
    <w:unhideWhenUsed/>
    <w:pPr>
      <w:spacing w:after="57"/>
      <w:ind w:left="1701" w:right="0" w:firstLine="0"/>
    </w:pPr>
  </w:style>
  <w:style w:type="paragraph" w:styleId="867">
    <w:name w:val="toc 8"/>
    <w:basedOn w:val="871"/>
    <w:next w:val="871"/>
    <w:uiPriority w:val="39"/>
    <w:unhideWhenUsed/>
    <w:pPr>
      <w:spacing w:after="57"/>
      <w:ind w:left="1984" w:right="0" w:firstLine="0"/>
    </w:pPr>
  </w:style>
  <w:style w:type="paragraph" w:styleId="868">
    <w:name w:val="toc 9"/>
    <w:basedOn w:val="871"/>
    <w:next w:val="871"/>
    <w:uiPriority w:val="39"/>
    <w:unhideWhenUsed/>
    <w:pPr>
      <w:spacing w:after="57"/>
      <w:ind w:left="2268" w:right="0" w:firstLine="0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next w:val="871"/>
    <w:link w:val="871"/>
    <w:qFormat/>
    <w:rPr>
      <w:sz w:val="24"/>
      <w:szCs w:val="24"/>
      <w:lang w:val="ru-RU" w:eastAsia="ru-RU" w:bidi="ar-SA"/>
    </w:rPr>
  </w:style>
  <w:style w:type="paragraph" w:styleId="872">
    <w:name w:val="Заголовок 1"/>
    <w:basedOn w:val="871"/>
    <w:next w:val="871"/>
    <w:link w:val="877"/>
    <w:uiPriority w:val="9"/>
    <w:qFormat/>
    <w:pPr>
      <w:keepNext/>
      <w:jc w:val="both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3">
    <w:name w:val="Заголовок 2"/>
    <w:basedOn w:val="871"/>
    <w:next w:val="871"/>
    <w:link w:val="878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4">
    <w:name w:val="Основной шрифт абзаца"/>
    <w:next w:val="874"/>
    <w:link w:val="871"/>
    <w:uiPriority w:val="1"/>
    <w:unhideWhenUsed/>
  </w:style>
  <w:style w:type="table" w:styleId="875">
    <w:name w:val="Обычная таблица"/>
    <w:next w:val="875"/>
    <w:link w:val="871"/>
    <w:uiPriority w:val="99"/>
    <w:semiHidden/>
    <w:unhideWhenUsed/>
    <w:tblPr/>
  </w:style>
  <w:style w:type="numbering" w:styleId="876">
    <w:name w:val="Нет списка"/>
    <w:next w:val="876"/>
    <w:link w:val="871"/>
    <w:uiPriority w:val="99"/>
    <w:semiHidden/>
    <w:unhideWhenUsed/>
  </w:style>
  <w:style w:type="character" w:styleId="877">
    <w:name w:val="Заголовок 1 Знак"/>
    <w:next w:val="877"/>
    <w:link w:val="872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8">
    <w:name w:val="Заголовок 2 Знак"/>
    <w:next w:val="878"/>
    <w:link w:val="873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9">
    <w:name w:val="Название"/>
    <w:basedOn w:val="871"/>
    <w:next w:val="879"/>
    <w:link w:val="880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0">
    <w:name w:val="Название Знак"/>
    <w:next w:val="880"/>
    <w:link w:val="879"/>
    <w:rPr>
      <w:rFonts w:ascii="Cambria" w:hAnsi="Cambria" w:eastAsia="Times New Roman" w:cs="Times New Roman"/>
      <w:b/>
      <w:bCs/>
      <w:sz w:val="32"/>
      <w:szCs w:val="32"/>
    </w:rPr>
  </w:style>
  <w:style w:type="paragraph" w:styleId="881">
    <w:name w:val="Основной текст с отступом"/>
    <w:basedOn w:val="871"/>
    <w:next w:val="881"/>
    <w:link w:val="882"/>
    <w:uiPriority w:val="99"/>
    <w:pPr>
      <w:ind w:left="360"/>
    </w:pPr>
    <w:rPr>
      <w:lang w:val="en-US" w:eastAsia="en-US"/>
    </w:rPr>
  </w:style>
  <w:style w:type="character" w:styleId="882">
    <w:name w:val="Основной текст с отступом Знак"/>
    <w:next w:val="882"/>
    <w:link w:val="881"/>
    <w:uiPriority w:val="99"/>
    <w:semiHidden/>
    <w:rPr>
      <w:rFonts w:cs="Times New Roman"/>
      <w:sz w:val="24"/>
      <w:szCs w:val="24"/>
    </w:rPr>
  </w:style>
  <w:style w:type="character" w:styleId="883">
    <w:name w:val="Цветовое выделение"/>
    <w:next w:val="883"/>
    <w:link w:val="871"/>
    <w:rPr>
      <w:b/>
      <w:color w:val="000080"/>
    </w:rPr>
  </w:style>
  <w:style w:type="paragraph" w:styleId="884">
    <w:name w:val="Заголовок статьи"/>
    <w:basedOn w:val="871"/>
    <w:next w:val="871"/>
    <w:link w:val="871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5">
    <w:name w:val="Основной текст"/>
    <w:basedOn w:val="871"/>
    <w:next w:val="885"/>
    <w:link w:val="886"/>
    <w:uiPriority w:val="99"/>
    <w:pPr>
      <w:jc w:val="both"/>
    </w:pPr>
    <w:rPr>
      <w:lang w:val="en-US" w:eastAsia="en-US"/>
    </w:rPr>
  </w:style>
  <w:style w:type="character" w:styleId="886">
    <w:name w:val="Основной текст Знак"/>
    <w:next w:val="886"/>
    <w:link w:val="885"/>
    <w:uiPriority w:val="99"/>
    <w:semiHidden/>
    <w:rPr>
      <w:rFonts w:cs="Times New Roman"/>
      <w:sz w:val="24"/>
      <w:szCs w:val="24"/>
    </w:rPr>
  </w:style>
  <w:style w:type="paragraph" w:styleId="887">
    <w:name w:val="Основной текст с отступом 2"/>
    <w:basedOn w:val="871"/>
    <w:next w:val="887"/>
    <w:link w:val="888"/>
    <w:uiPriority w:val="99"/>
    <w:pPr>
      <w:ind w:firstLine="708"/>
      <w:jc w:val="both"/>
    </w:pPr>
    <w:rPr>
      <w:lang w:val="en-US" w:eastAsia="en-US"/>
    </w:rPr>
  </w:style>
  <w:style w:type="character" w:styleId="888">
    <w:name w:val="Основной текст с отступом 2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2"/>
    <w:basedOn w:val="871"/>
    <w:next w:val="889"/>
    <w:link w:val="890"/>
    <w:uiPriority w:val="99"/>
    <w:rPr>
      <w:lang w:val="en-US" w:eastAsia="en-US"/>
    </w:rPr>
  </w:style>
  <w:style w:type="character" w:styleId="890">
    <w:name w:val="Основной текст 2 Знак"/>
    <w:next w:val="890"/>
    <w:link w:val="889"/>
    <w:uiPriority w:val="99"/>
    <w:rPr>
      <w:rFonts w:cs="Times New Roman"/>
      <w:sz w:val="24"/>
      <w:szCs w:val="24"/>
    </w:rPr>
  </w:style>
  <w:style w:type="paragraph" w:styleId="891">
    <w:name w:val="Таблицы (моноширинный)"/>
    <w:basedOn w:val="871"/>
    <w:next w:val="871"/>
    <w:link w:val="871"/>
    <w:pPr>
      <w:jc w:val="both"/>
    </w:pPr>
    <w:rPr>
      <w:rFonts w:ascii="Courier New" w:hAnsi="Courier New" w:cs="Courier New"/>
      <w:sz w:val="20"/>
      <w:szCs w:val="20"/>
    </w:rPr>
  </w:style>
  <w:style w:type="character" w:styleId="892">
    <w:name w:val="Номер страницы"/>
    <w:next w:val="892"/>
    <w:link w:val="871"/>
    <w:uiPriority w:val="99"/>
    <w:rPr>
      <w:rFonts w:cs="Times New Roman"/>
    </w:rPr>
  </w:style>
  <w:style w:type="paragraph" w:styleId="893">
    <w:name w:val="Нижний колонтитул"/>
    <w:basedOn w:val="871"/>
    <w:next w:val="893"/>
    <w:link w:val="89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4">
    <w:name w:val="Нижний колонтитул Знак"/>
    <w:next w:val="894"/>
    <w:link w:val="893"/>
    <w:uiPriority w:val="99"/>
    <w:semiHidden/>
    <w:rPr>
      <w:rFonts w:cs="Times New Roman"/>
      <w:sz w:val="24"/>
      <w:szCs w:val="24"/>
    </w:rPr>
  </w:style>
  <w:style w:type="paragraph" w:styleId="895">
    <w:name w:val="Основной текст с отступом 3"/>
    <w:basedOn w:val="871"/>
    <w:next w:val="895"/>
    <w:link w:val="896"/>
    <w:uiPriority w:val="99"/>
    <w:pPr>
      <w:keepLines/>
      <w:spacing w:after="120" w:line="320" w:lineRule="exact"/>
      <w:ind w:left="283" w:firstLine="567"/>
      <w:jc w:val="both"/>
    </w:pPr>
    <w:rPr>
      <w:sz w:val="16"/>
      <w:szCs w:val="16"/>
      <w:lang w:val="en-US" w:eastAsia="en-US"/>
    </w:rPr>
  </w:style>
  <w:style w:type="character" w:styleId="896">
    <w:name w:val="Основной текст с отступом 3 Знак"/>
    <w:next w:val="896"/>
    <w:link w:val="895"/>
    <w:uiPriority w:val="99"/>
    <w:semiHidden/>
    <w:rPr>
      <w:rFonts w:cs="Times New Roman"/>
      <w:sz w:val="16"/>
      <w:szCs w:val="16"/>
    </w:rPr>
  </w:style>
  <w:style w:type="paragraph" w:styleId="897">
    <w:name w:val="Стиль1"/>
    <w:basedOn w:val="871"/>
    <w:next w:val="897"/>
    <w:link w:val="871"/>
    <w:uiPriority w:val="99"/>
    <w:pPr>
      <w:keepNext/>
      <w:keepLines/>
      <w:widowControl w:val="off"/>
      <w:numPr>
        <w:numId w:val="1"/>
        <w:ilvl w:val="0"/>
      </w:numPr>
      <w:suppressLineNumbers/>
      <w:spacing w:after="60"/>
    </w:pPr>
    <w:rPr>
      <w:b/>
      <w:bCs/>
      <w:sz w:val="28"/>
      <w:szCs w:val="28"/>
    </w:rPr>
  </w:style>
  <w:style w:type="paragraph" w:styleId="898">
    <w:name w:val="Стиль2"/>
    <w:basedOn w:val="899"/>
    <w:next w:val="898"/>
    <w:link w:val="871"/>
    <w:uiPriority w:val="99"/>
    <w:pPr>
      <w:keepNext/>
      <w:keepLines/>
      <w:widowControl w:val="off"/>
      <w:numPr>
        <w:numId w:val="1"/>
        <w:ilvl w:val="1"/>
      </w:numPr>
      <w:suppressLineNumbers/>
      <w:tabs>
        <w:tab w:val="num" w:pos="643" w:leader="none"/>
      </w:tabs>
      <w:spacing w:after="60"/>
      <w:jc w:val="both"/>
    </w:pPr>
    <w:rPr>
      <w:b/>
      <w:bCs/>
    </w:rPr>
  </w:style>
  <w:style w:type="paragraph" w:styleId="899">
    <w:name w:val="Нумерованный список 2"/>
    <w:basedOn w:val="871"/>
    <w:next w:val="899"/>
    <w:link w:val="871"/>
    <w:uiPriority w:val="99"/>
    <w:pPr>
      <w:tabs>
        <w:tab w:val="num" w:pos="643" w:leader="none"/>
      </w:tabs>
      <w:ind w:left="643" w:hanging="360"/>
    </w:pPr>
  </w:style>
  <w:style w:type="paragraph" w:styleId="900">
    <w:name w:val="Стиль3"/>
    <w:basedOn w:val="887"/>
    <w:next w:val="900"/>
    <w:link w:val="871"/>
    <w:uiPriority w:val="99"/>
    <w:pPr>
      <w:widowControl w:val="off"/>
      <w:numPr>
        <w:numId w:val="1"/>
        <w:ilvl w:val="2"/>
      </w:numPr>
      <w:ind w:firstLine="0"/>
    </w:pPr>
    <w:rPr>
      <w:sz w:val="24"/>
      <w:szCs w:val="24"/>
    </w:rPr>
  </w:style>
  <w:style w:type="paragraph" w:styleId="901">
    <w:name w:val="Верхний колонтитул"/>
    <w:basedOn w:val="871"/>
    <w:next w:val="901"/>
    <w:link w:val="902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2">
    <w:name w:val="Верхний колонтитул Знак"/>
    <w:next w:val="902"/>
    <w:link w:val="901"/>
    <w:uiPriority w:val="99"/>
    <w:semiHidden/>
    <w:rPr>
      <w:rFonts w:cs="Times New Roman"/>
      <w:sz w:val="24"/>
      <w:szCs w:val="24"/>
    </w:rPr>
  </w:style>
  <w:style w:type="paragraph" w:styleId="903">
    <w:name w:val="Подзаголовок"/>
    <w:basedOn w:val="871"/>
    <w:next w:val="903"/>
    <w:link w:val="904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4">
    <w:name w:val="Подзаголовок Знак"/>
    <w:next w:val="904"/>
    <w:link w:val="903"/>
    <w:uiPriority w:val="11"/>
    <w:rPr>
      <w:rFonts w:ascii="Cambria" w:hAnsi="Cambria" w:eastAsia="Times New Roman" w:cs="Times New Roman"/>
      <w:sz w:val="24"/>
      <w:szCs w:val="24"/>
    </w:rPr>
  </w:style>
  <w:style w:type="paragraph" w:styleId="905">
    <w:name w:val="ConsPlusNormal"/>
    <w:next w:val="905"/>
    <w:link w:val="871"/>
    <w:pPr>
      <w:ind w:firstLine="720"/>
    </w:pPr>
    <w:rPr>
      <w:rFonts w:ascii="Arial" w:hAnsi="Arial" w:cs="Arial"/>
      <w:lang w:val="ru-RU" w:eastAsia="ru-RU" w:bidi="ar-SA"/>
    </w:rPr>
  </w:style>
  <w:style w:type="paragraph" w:styleId="906">
    <w:name w:val="Оглавление 1"/>
    <w:basedOn w:val="871"/>
    <w:next w:val="871"/>
    <w:link w:val="871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7">
    <w:name w:val="Гиперссылка"/>
    <w:next w:val="907"/>
    <w:link w:val="871"/>
    <w:uiPriority w:val="99"/>
    <w:rPr>
      <w:rFonts w:cs="Times New Roman"/>
      <w:color w:val="0000ff"/>
      <w:u w:val="single"/>
    </w:rPr>
  </w:style>
  <w:style w:type="character" w:styleId="908">
    <w:name w:val="Знак"/>
    <w:next w:val="908"/>
    <w:link w:val="871"/>
    <w:uiPriority w:val="99"/>
    <w:rPr>
      <w:rFonts w:cs="Times New Roman"/>
      <w:sz w:val="24"/>
      <w:szCs w:val="24"/>
      <w:lang w:val="ru-RU" w:eastAsia="ru-RU"/>
    </w:rPr>
  </w:style>
  <w:style w:type="paragraph" w:styleId="909">
    <w:name w:val="ConsNonformat"/>
    <w:next w:val="909"/>
    <w:link w:val="871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0">
    <w:name w:val="ConsNormal"/>
    <w:next w:val="910"/>
    <w:link w:val="871"/>
    <w:uiPriority w:val="99"/>
    <w:pPr>
      <w:widowControl w:val="off"/>
      <w:ind w:firstLine="720"/>
    </w:pPr>
    <w:rPr>
      <w:rFonts w:ascii="Arial" w:hAnsi="Arial" w:cs="Arial"/>
      <w:lang w:val="ru-RU" w:eastAsia="ru-RU" w:bidi="ar-SA"/>
    </w:rPr>
  </w:style>
  <w:style w:type="paragraph" w:styleId="911">
    <w:name w:val="Основной текст 3"/>
    <w:basedOn w:val="871"/>
    <w:next w:val="911"/>
    <w:link w:val="912"/>
    <w:uiPriority w:val="99"/>
    <w:pPr>
      <w:spacing w:after="120"/>
    </w:pPr>
    <w:rPr>
      <w:sz w:val="16"/>
      <w:szCs w:val="16"/>
      <w:lang w:val="en-US" w:eastAsia="en-US"/>
    </w:rPr>
  </w:style>
  <w:style w:type="character" w:styleId="912">
    <w:name w:val="Основной текст 3 Знак"/>
    <w:next w:val="912"/>
    <w:link w:val="911"/>
    <w:uiPriority w:val="99"/>
    <w:semiHidden/>
    <w:rPr>
      <w:rFonts w:cs="Times New Roman"/>
      <w:sz w:val="16"/>
      <w:szCs w:val="16"/>
    </w:rPr>
  </w:style>
  <w:style w:type="paragraph" w:styleId="913">
    <w:name w:val="Текст выноски"/>
    <w:basedOn w:val="871"/>
    <w:next w:val="913"/>
    <w:link w:val="914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4">
    <w:name w:val="Текст выноски Знак"/>
    <w:next w:val="914"/>
    <w:link w:val="913"/>
    <w:uiPriority w:val="99"/>
    <w:semiHidden/>
    <w:rPr>
      <w:rFonts w:ascii="Tahoma" w:hAnsi="Tahoma" w:cs="Tahoma"/>
      <w:sz w:val="16"/>
      <w:szCs w:val="16"/>
    </w:rPr>
  </w:style>
  <w:style w:type="character" w:styleId="915">
    <w:name w:val="Просмотренная гиперссылка"/>
    <w:next w:val="915"/>
    <w:link w:val="871"/>
    <w:uiPriority w:val="99"/>
    <w:rPr>
      <w:rFonts w:cs="Times New Roman"/>
      <w:color w:val="800080"/>
      <w:u w:val="single"/>
    </w:rPr>
  </w:style>
  <w:style w:type="character" w:styleId="916">
    <w:name w:val="Гипертекстовая ссылка"/>
    <w:next w:val="916"/>
    <w:link w:val="871"/>
    <w:uiPriority w:val="99"/>
    <w:rPr>
      <w:rFonts w:cs="Times New Roman"/>
      <w:b/>
      <w:bCs/>
      <w:color w:val="008000"/>
      <w:u w:val="single"/>
    </w:rPr>
  </w:style>
  <w:style w:type="character" w:styleId="917">
    <w:name w:val="apple-converted-space"/>
    <w:basedOn w:val="874"/>
    <w:next w:val="917"/>
    <w:link w:val="871"/>
  </w:style>
  <w:style w:type="paragraph" w:styleId="918">
    <w:name w:val="Абзац списка"/>
    <w:basedOn w:val="871"/>
    <w:next w:val="918"/>
    <w:link w:val="871"/>
    <w:uiPriority w:val="34"/>
    <w:qFormat/>
    <w:pPr>
      <w:ind w:left="720"/>
      <w:contextualSpacing/>
    </w:p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l.sozonova</cp:lastModifiedBy>
  <cp:revision>75</cp:revision>
  <dcterms:created xsi:type="dcterms:W3CDTF">2020-03-02T11:26:00Z</dcterms:created>
  <dcterms:modified xsi:type="dcterms:W3CDTF">2026-01-19T12:54:03Z</dcterms:modified>
  <cp:version>786432</cp:version>
</cp:coreProperties>
</file>