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ИЗВЕЩЕНИЕ О ПРОВЕДЕНИИ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 право заключения договора аренды земельного участка, расположенного по адресу: Российская Федерация, Нижегородская область, г.о город Нижний Новгород, г Нижний Новгород, ул.Добровольцев, земельный участок 46А, кадастровый номер 52:18:0010411:195, с видом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разрешенного использования: для индивидуального жилищного строительства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ТОЛЬКО ДЛЯ ГРАЖДАН - ФИЗИЧЕСКИХ ЛИЦ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начала приема заявок: 28.01.2026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окончания приема заявок: 27.02.2026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аукциона: 03.03.2026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left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Нижний Новгород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</w:rPr>
        <w:t xml:space="preserve">2026</w:t>
      </w:r>
      <w:r/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  Правовое регулирование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ТОЛЬКО ДЛЯ ГРАЖДАН</w:t>
      </w:r>
      <w:r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Гражданского кодекса Российской Федерации;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Земельного кодекса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Федерального закона от 26.07.2006 № 135-ФЗ «О защите конкуренции»;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Постановления Правительства Российской Федерации от 10.05.2018 № 564 «О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постановления администрации города Нижнего Новгорода от 26.12.2025 № 16450 «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проведении аукциона в электронной форме на право заключения договора аренды земельного участка, расположенного по адресу: Российская Федерация, Нижегородская область, г.о город Нижний Новгород, г Нижний Новгород, ул.Добровольцев, земельный участок 46А, ка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дастровый номер 52:18:0010411:195, с видом разрешенного использования: для индивидуального жилищного строительства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»;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иных нормативно правовых актов Российской Федерации и Нижегородской области.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  Сведения об аукционе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  Продавец</w:t>
      </w:r>
      <w:r>
        <w:rPr>
          <w:rFonts w:ascii="Times New Roman" w:hAnsi="Times New Roman" w:cs="Times New Roman"/>
          <w:sz w:val="24"/>
          <w:szCs w:val="24"/>
        </w:rPr>
        <w:t xml:space="preserve"> – Администрация города Нижнего Новгорода.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603082, город Нижний Новгород, Кремль, корп.5.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ooltip="http://www.нижнийновгород.рф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ooltip="mailto:ann@admgor.nnov.ru" w:history="1">
        <w:r>
          <w:rPr>
            <w:rFonts w:ascii="Times New Roman" w:hAnsi="Times New Roman" w:cs="Times New Roman"/>
            <w:sz w:val="24"/>
            <w:szCs w:val="24"/>
          </w:rPr>
          <w:t xml:space="preserve">ann@admgor.nnov.ru</w:t>
        </w:r>
      </w:hyperlink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(831) 467-10-03.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2.2.  Организатор аукциона</w:t>
      </w:r>
      <w:r>
        <w:rPr>
          <w:rFonts w:ascii="Times New Roman" w:hAnsi="Times New Roman" w:cs="Times New Roman"/>
          <w:sz w:val="24"/>
          <w:szCs w:val="24"/>
        </w:rPr>
        <w:t xml:space="preserve"> – Комитет по управлению городским имуществом и земельными ресурсами администрации города Нижнего Новгорода.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603005, г. Н.Новгород, улица Большая Покровская, дом 15.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tooltip="mailto:kugi@admgor.nnov.ru" w:history="1">
        <w:r>
          <w:rPr>
            <w:rStyle w:val="886"/>
            <w:rFonts w:ascii="Times New Roman" w:hAnsi="Times New Roman" w:cs="Times New Roman"/>
            <w:sz w:val="24"/>
            <w:szCs w:val="24"/>
            <w:lang w:val="en-US"/>
          </w:rPr>
          <w:t xml:space="preserve">kugi</w:t>
        </w:r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@</w:t>
        </w:r>
        <w:r>
          <w:rPr>
            <w:rStyle w:val="886"/>
            <w:rFonts w:ascii="Times New Roman" w:hAnsi="Times New Roman" w:cs="Times New Roman"/>
            <w:sz w:val="24"/>
            <w:szCs w:val="24"/>
            <w:lang w:val="en-US"/>
          </w:rPr>
          <w:t xml:space="preserve">admgor</w:t>
        </w:r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86"/>
            <w:rFonts w:ascii="Times New Roman" w:hAnsi="Times New Roman" w:cs="Times New Roman"/>
            <w:sz w:val="24"/>
            <w:szCs w:val="24"/>
            <w:lang w:val="en-US"/>
          </w:rPr>
          <w:t xml:space="preserve">nnov</w:t>
        </w:r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86"/>
            <w:rFonts w:ascii="Times New Roman" w:hAnsi="Times New Roman" w:cs="Times New Roman"/>
            <w:sz w:val="24"/>
            <w:szCs w:val="24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7 (831) 435-69-33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2.3.  </w:t>
      </w:r>
      <w:r>
        <w:rPr>
          <w:rFonts w:ascii="Times New Roman" w:hAnsi="Times New Roman" w:cs="Times New Roman"/>
          <w:b/>
          <w:sz w:val="24"/>
          <w:szCs w:val="24"/>
        </w:rPr>
        <w:t xml:space="preserve">Оператор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</w:t>
      </w:r>
      <w:r>
        <w:rPr>
          <w:rFonts w:ascii="Times New Roman" w:hAnsi="Times New Roman" w:cs="Times New Roman"/>
          <w:sz w:val="24"/>
          <w:szCs w:val="24"/>
        </w:rPr>
        <w:t xml:space="preserve">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</w:t>
      </w:r>
      <w:r>
        <w:rPr>
          <w:rFonts w:ascii="Times New Roman" w:hAnsi="Times New Roman" w:cs="Times New Roman"/>
          <w:sz w:val="24"/>
          <w:szCs w:val="24"/>
        </w:rPr>
        <w:t xml:space="preserve">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r>
        <w:rPr>
          <w:rFonts w:ascii="Times New Roman" w:hAnsi="Times New Roman" w:cs="Times New Roman"/>
          <w:sz w:val="24"/>
          <w:szCs w:val="24"/>
        </w:rPr>
        <w:t xml:space="preserve">, от 18.07.2011 № 223-ФЗ».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Наименование:</w:t>
      </w:r>
      <w:r>
        <w:rPr>
          <w:rFonts w:ascii="Times New Roman" w:hAnsi="Times New Roman" w:cs="Times New Roman"/>
          <w:sz w:val="24"/>
          <w:szCs w:val="24"/>
        </w:rPr>
        <w:t xml:space="preserve"> АО «Электронные торговые системы».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123112, г</w:t>
      </w:r>
      <w:r>
        <w:rPr>
          <w:rFonts w:ascii="Times New Roman" w:hAnsi="Times New Roman" w:cs="Times New Roman"/>
          <w:sz w:val="24"/>
          <w:szCs w:val="24"/>
        </w:rPr>
        <w:t xml:space="preserve">.М</w:t>
      </w:r>
      <w:r>
        <w:rPr>
          <w:rFonts w:ascii="Times New Roman" w:hAnsi="Times New Roman" w:cs="Times New Roman"/>
          <w:sz w:val="24"/>
          <w:szCs w:val="24"/>
        </w:rPr>
        <w:t xml:space="preserve">осква, </w:t>
      </w:r>
      <w:r>
        <w:rPr>
          <w:rFonts w:ascii="Times New Roman" w:hAnsi="Times New Roman" w:cs="Times New Roman"/>
          <w:sz w:val="24"/>
          <w:szCs w:val="24"/>
        </w:rPr>
        <w:t xml:space="preserve">ул.Тестовская</w:t>
      </w:r>
      <w:r>
        <w:rPr>
          <w:rFonts w:ascii="Times New Roman" w:hAnsi="Times New Roman" w:cs="Times New Roman"/>
          <w:sz w:val="24"/>
          <w:szCs w:val="24"/>
        </w:rPr>
        <w:t xml:space="preserve">, д.10, этаж 18, помещ.1, комната 13.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tooltip="mailto:realty@etpz.ru" w:history="1">
        <w:r>
          <w:rPr>
            <w:rStyle w:val="886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realty@etpz.ru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(495) 514-02-04.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2.4.  Предмет аукциона: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земельный участок,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аходящийся в муниципальной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собственности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расположенный по адресу: 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Российская Федерация, Нижегородская область, г.о город Нижний Новгород, г Нижний Новгород, ул.Добровольцев, земельный участок 46А, кадастровый номер 52:18:0010411:195, с видом разрешенного использования: для индивидуального жилищного строительства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(далее – земельный участок).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Сведения о земельном участке: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Style w:val="898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Местоположение: </w:t>
      </w:r>
      <w:r>
        <w:rPr>
          <w:rStyle w:val="89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Российская Федерация, Нижегородская область, г.о город Нижний Новгород, г Нижний Новгород, ул.Добровольцев, земельный участок 46А</w:t>
      </w:r>
      <w:r>
        <w:rPr>
          <w:rStyle w:val="890"/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.</w:t>
      </w:r>
      <w:r>
        <w:rPr>
          <w:rStyle w:val="898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Площадь:</w:t>
      </w:r>
      <w:r>
        <w:rPr>
          <w:rFonts w:ascii="Times New Roman" w:hAnsi="Times New Roman" w:cs="Times New Roman"/>
          <w:sz w:val="24"/>
          <w:szCs w:val="24"/>
        </w:rPr>
        <w:t xml:space="preserve"> 782 +/-10 кв.м.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Кадастровый номер: 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52:18:0010411:195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Категория земель:</w:t>
      </w:r>
      <w:r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Виды разрешенного использования:</w:t>
      </w:r>
      <w:r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 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для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Ограничения (обременения) права на земельный участок:</w:t>
      </w:r>
      <w:r>
        <w:rPr>
          <w:rFonts w:ascii="Times New Roman" w:hAnsi="Times New Roman" w:cs="Times New Roman"/>
          <w:sz w:val="24"/>
          <w:szCs w:val="24"/>
        </w:rPr>
        <w:t xml:space="preserve"> не зарегистрированы.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b w:val="0"/>
          <w:bCs w:val="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Правообладатель: город Нижний Новгород.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Вид, номер, дата государственной регистрации права: Собственность, №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52:18:0010411:195-52/279/2024-1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от 19.02.2024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Градостроительный план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(Приложение № 1)</w:t>
      </w:r>
      <w:r>
        <w:rPr>
          <w:rFonts w:ascii="Times New Roman" w:hAnsi="Times New Roman" w:cs="Times New Roman"/>
          <w:sz w:val="24"/>
          <w:szCs w:val="24"/>
        </w:rPr>
        <w:t xml:space="preserve">, расположенного по адресу:</w:t>
      </w:r>
      <w:r>
        <w:rPr>
          <w:rStyle w:val="898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Style w:val="898"/>
          <w:rFonts w:ascii="Times New Roman" w:hAnsi="Times New Roman" w:cs="Times New Roman"/>
          <w:bCs/>
          <w:color w:val="000000"/>
          <w:sz w:val="24"/>
          <w:szCs w:val="24"/>
        </w:rPr>
        <w:t xml:space="preserve">Российская Федерация, Нижегородская область, г.о город Нижний Новгород, г Нижний Новгород, ул.Добровольцев, земельный участок 46А</w:t>
      </w:r>
      <w:r>
        <w:rPr>
          <w:rStyle w:val="890"/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№ РФ-52-2-01-0-00-2025-0843-0, дата выдачи 11.09.2025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Градостроительный план содержит сведения: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максимально и (или) минимально допустимых параметрах разрешенного строительства объекта капитального строительства (п.2.3 Градостроительного плана);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наличии или отсутствии ограничений в использовании земельного участка (п.5 Градостроительного плана);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возможности подключения (технологического присоединения) объекта капитального строительства к сетям инженерно-технического обеспечения (п.9 Градостроительного плана).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2.6.  Срок аренды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: 20 лет </w:t>
      </w:r>
      <w:r>
        <w:rPr>
          <w:rFonts w:ascii="Times New Roman" w:hAnsi="Times New Roman" w:cs="Times New Roman"/>
          <w:sz w:val="24"/>
          <w:szCs w:val="24"/>
        </w:rPr>
        <w:t xml:space="preserve">с даты подписания</w:t>
      </w:r>
      <w:r>
        <w:rPr>
          <w:rFonts w:ascii="Times New Roman" w:hAnsi="Times New Roman" w:cs="Times New Roman"/>
          <w:sz w:val="24"/>
          <w:szCs w:val="24"/>
        </w:rPr>
        <w:t xml:space="preserve"> договора аренды земельного участка.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2.7.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 </w:t>
      </w:r>
      <w:r>
        <w:rPr>
          <w:rFonts w:ascii="Times New Roman" w:hAnsi="Times New Roman" w:cs="Times New Roman"/>
          <w:b/>
          <w:sz w:val="24"/>
          <w:szCs w:val="24"/>
        </w:rPr>
        <w:t xml:space="preserve">Начальная цена предмета аукциона (размер ежегодной арендной платы) – </w:t>
      </w:r>
      <w:r>
        <w:rPr>
          <w:rFonts w:ascii="Times New Roman" w:hAnsi="Times New Roman" w:cs="Times New Roman"/>
          <w:b/>
          <w:sz w:val="24"/>
          <w:szCs w:val="24"/>
        </w:rPr>
        <w:t xml:space="preserve">291 586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 xml:space="preserve">двести девяносто одна тысяча пятьсот восемьдесят шесть</w:t>
      </w:r>
      <w:r>
        <w:rPr>
          <w:rFonts w:ascii="Times New Roman" w:hAnsi="Times New Roman" w:cs="Times New Roman"/>
          <w:b/>
          <w:sz w:val="24"/>
          <w:szCs w:val="24"/>
        </w:rPr>
        <w:t xml:space="preserve">) рублей.</w:t>
      </w: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Размер ежегодной арендной платы определен на основании отчета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от 25.08.2025 №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104-13/09-1/01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 об оценке Объекта оценки: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Земельный участок, площадью 782 кв.м., кадастровый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номер: 52:18:0010411:195, адрес: Российская Федерация,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Нижегородская область, г.о город Нижний Новгород, г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Нижний Новгород, Сормовский р-н, ул. Добровольцев,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земельный участок 46А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выполненного ООО «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АЛЕКСА-ГРУПП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» в соответствии с законодательством Российской Федерации об оценочной деятельности.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Арендная плата вносится согласно разделу 4 договора аренды земельного участка (Приложение № 3).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досрочного расторжения договора аренды арендная плата за первый год не возвращается независимо от причин расторжения.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tabs>
          <w:tab w:val="left" w:pos="745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2.8. 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</w:t>
      </w:r>
      <w:r>
        <w:rPr>
          <w:rFonts w:ascii="Times New Roman" w:hAnsi="Times New Roman" w:cs="Times New Roman"/>
          <w:b/>
          <w:sz w:val="24"/>
          <w:szCs w:val="24"/>
        </w:rPr>
        <w:t xml:space="preserve">Шаг аукциона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8 747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рублей.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2.9.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 </w:t>
      </w:r>
      <w:r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>
        <w:rPr>
          <w:rFonts w:ascii="Times New Roman" w:hAnsi="Times New Roman" w:cs="Times New Roman"/>
          <w:b/>
          <w:sz w:val="24"/>
          <w:szCs w:val="24"/>
        </w:rPr>
        <w:t xml:space="preserve">задаток</w:t>
      </w:r>
      <w:r>
        <w:rPr>
          <w:rFonts w:ascii="Times New Roman" w:hAnsi="Times New Roman" w:cs="Times New Roman"/>
          <w:sz w:val="24"/>
          <w:szCs w:val="24"/>
        </w:rPr>
        <w:t xml:space="preserve"> в размере </w:t>
      </w:r>
      <w:r>
        <w:rPr>
          <w:rFonts w:ascii="Times New Roman" w:hAnsi="Times New Roman" w:cs="Times New Roman"/>
          <w:b/>
          <w:sz w:val="24"/>
          <w:szCs w:val="24"/>
        </w:rPr>
        <w:t xml:space="preserve">291 586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 xml:space="preserve">двести девяносто одна тысяча пятьсот восемьдесят шесть</w:t>
      </w:r>
      <w:r>
        <w:rPr>
          <w:rFonts w:ascii="Times New Roman" w:hAnsi="Times New Roman" w:cs="Times New Roman"/>
          <w:b/>
          <w:sz w:val="24"/>
          <w:szCs w:val="24"/>
        </w:rPr>
        <w:t xml:space="preserve">) рублей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2.10.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Размер платы Оператору электронной площадки за участие в аукционе, взимаемой с лица, признанного победителем аукциона (далее – Победитель), а также иных лиц, с которым договор аренды земельного участка закл</w:t>
      </w:r>
      <w:r>
        <w:rPr>
          <w:rFonts w:ascii="Times New Roman" w:hAnsi="Times New Roman" w:cs="Times New Roman"/>
          <w:sz w:val="24"/>
          <w:szCs w:val="24"/>
        </w:rPr>
        <w:t xml:space="preserve">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Регламент и Инструкции), и размещен по адресу в информационно-телекоммуникационной сети «Интернет»: </w:t>
      </w:r>
      <w:hyperlink r:id="rId16" w:tooltip="https://www.fabrikant.ru/rules/common?category-id=1716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- вознаграждения за оказанные услуги).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2.11.  Место приема заявок на участие в аукционе (далее - Заявка):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7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2.12.  Дата и время начала приема заявок: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28.01.2026 в 15 час. 00 мин.* Прием Заявок осуществляется круглосуточно.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* Здесь и далее указано московское время. 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2.13.  Дата и время окончания срока приема заявок и начала их рассмотрения: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27.02.2026 в 12 час. 00 мин.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2.14.  Дата окончания рассмотрения Заявок: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02.03.2026.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2.15.  Место проведения аукциона: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электронная площадка </w:t>
      </w:r>
      <w:hyperlink r:id="rId18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2.16.  Дата и время начала проведения аукциона: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03.03.2026 в 11 час. 00 мин.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  Информационное обеспечение аукциона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b w:val="0"/>
          <w:bCs w:val="0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3.1.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20.11.2025 Организатором торгов было размещено извещение о предоставлении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земельного участка в соответствии с подпунктом 1 пункта 1 статьи 39.18 Земельного кодекса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Российской Федерации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Извещение о проведении аукциона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(далее - Извещение) </w:t>
      </w:r>
      <w:r>
        <w:rPr>
          <w:rFonts w:ascii="Times New Roman" w:hAnsi="Times New Roman" w:cs="Times New Roman"/>
          <w:sz w:val="24"/>
          <w:szCs w:val="24"/>
        </w:rPr>
        <w:t xml:space="preserve">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</w:t>
      </w:r>
      <w:hyperlink r:id="rId19" w:tooltip="http://www.torgi.gov.ru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(далее – Официальный сайт торгов), на официальном сайте администрации города Нижнего Новгорода: </w:t>
      </w:r>
      <w:hyperlink r:id="rId20" w:tooltip="http://www.нижнийновгород.рф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на электронной площадке: </w:t>
      </w:r>
      <w:hyperlink r:id="rId21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– электронная площадка) в соответствии с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Все приложения к Извещению являются его неотъемлемой частью.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3.3.  Осмотр земельного участка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самостоятельно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  Требования к Заявителям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Заявителями на участие в аукционе (далее – Заявитель, Заявители) могут быть ТОЛЬКО ГРАЖДАНЕ, имеющие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>
        <w:rPr>
          <w:rFonts w:ascii="Times New Roman" w:hAnsi="Times New Roman" w:cs="Times New Roman"/>
          <w:sz w:val="24"/>
          <w:szCs w:val="24"/>
        </w:rPr>
        <w:br/>
        <w:t xml:space="preserve">(далее - ЭП), и ПРОШЕДШИЕ РЕГИСТРАЦИЮ (АККРЕДИТАЦИЮ) В КАЧЕСТВЕ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ФИЗИЧЕСКОГО ЛИЦА (НЕ ИНДИВИДУАЛЬНОГО ПРЕДПРИНИМАТЕЛЯ) на электронной площадке в соответствии с Регламентом и Инструкциями.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  Получение ЭП и регистрация (аккредитация) на электронной площадке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5.1.</w:t>
      </w:r>
      <w:r>
        <w:rPr>
          <w:rFonts w:ascii="Times New Roman" w:hAnsi="Times New Roman" w:cs="Times New Roman"/>
          <w:sz w:val="24"/>
          <w:szCs w:val="24"/>
        </w:rPr>
        <w:t xml:space="preserve">  На Официальном сайте торгов (</w:t>
      </w:r>
      <w:hyperlink r:id="rId22" w:tooltip="http://www.torgi.gov.ru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5.2.  </w:t>
      </w:r>
      <w:r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5.3.  </w:t>
      </w:r>
      <w:r>
        <w:rPr>
          <w:rFonts w:ascii="Times New Roman" w:hAnsi="Times New Roman" w:cs="Times New Roman"/>
          <w:sz w:val="24"/>
          <w:szCs w:val="24"/>
        </w:rPr>
        <w:t xml:space="preserve">Для прохождения процедуры регистрации на Официальном сайте торгов (</w:t>
      </w:r>
      <w:hyperlink r:id="rId23" w:tooltip="http://www.torgi.gov.ru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r>
        <w:rPr>
          <w:rFonts w:ascii="Times New Roman" w:hAnsi="Times New Roman" w:cs="Times New Roman"/>
          <w:sz w:val="24"/>
          <w:szCs w:val="24"/>
        </w:rPr>
        <w:t xml:space="preserve">оформленную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5.4.  </w:t>
      </w:r>
      <w:r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размещена по адресу в информационно-телекоммуникационной сети «Интернет»: </w:t>
      </w:r>
      <w:hyperlink r:id="rId24" w:tooltip="https://www.fabrikant.ru/rules/common?category-id=154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5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5.5.  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от имени За</w:t>
      </w:r>
      <w:r>
        <w:rPr>
          <w:rFonts w:ascii="Times New Roman" w:hAnsi="Times New Roman" w:cs="Times New Roman"/>
          <w:sz w:val="24"/>
          <w:szCs w:val="24"/>
        </w:rPr>
        <w:t xml:space="preserve">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  Порядок внесения, блокирования и прекращения блокирования денежных сре</w:t>
      </w:r>
      <w:r>
        <w:rPr>
          <w:rFonts w:ascii="Times New Roman" w:hAnsi="Times New Roman" w:cs="Times New Roman"/>
          <w:b/>
          <w:sz w:val="28"/>
          <w:szCs w:val="28"/>
        </w:rPr>
        <w:t xml:space="preserve">дств в к</w:t>
      </w:r>
      <w:r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6.1.  </w:t>
      </w:r>
      <w:r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6.2.  </w:t>
      </w:r>
      <w:r>
        <w:rPr>
          <w:rFonts w:ascii="Times New Roman" w:hAnsi="Times New Roman" w:cs="Times New Roman"/>
          <w:sz w:val="24"/>
          <w:szCs w:val="24"/>
        </w:rPr>
        <w:t xml:space="preserve">В целях исполнения требований о внесении задатка для участия в аукционе Заявитель с учетом</w:t>
      </w:r>
      <w:r>
        <w:rPr>
          <w:rFonts w:ascii="Times New Roman" w:hAnsi="Times New Roman" w:cs="Times New Roman"/>
          <w:sz w:val="24"/>
          <w:szCs w:val="24"/>
        </w:rPr>
        <w:t xml:space="preserve"> требований Разделов 4, 5 Извещения обеспечивает наличие денежных средств на счете Оператора электронной площадки в размере, не менее суммы задатка, указанного в пункте 2.9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соответствии с Регламентом и Инструкциями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044525593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Расчётный счёт: 40702810301400020601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Корр. счёт 30101810200000000593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АО «АЛЬФА-БАНК»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7703668940 КПП 770301001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Назначение платежа: «Пополнение лицевого счета № _______ по заявке №_______ без НДС».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6.3.  </w:t>
      </w:r>
      <w:r>
        <w:rPr>
          <w:rFonts w:ascii="Times New Roman" w:hAnsi="Times New Roman" w:cs="Times New Roman"/>
          <w:sz w:val="24"/>
          <w:szCs w:val="24"/>
        </w:rPr>
        <w:t xml:space="preserve">Для внесения задатка Заявитель может сформировать платежное поручение в разделе личного кабинета «Электронный кошелек», при этом назначение платежа будет заполнено автоматически.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по «Электронному кошельку» размещена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6" w:tooltip="https://www.fabrikant.ru/rules/common?category-id=1705" w:history="1">
        <w:r>
          <w:rPr>
            <w:rStyle w:val="886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Заявителя, следовательно, такие денежные средства не </w:t>
      </w:r>
      <w:r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Заявителя и их нельзя</w:t>
      </w:r>
      <w:r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Оператора электронной площадки.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6.4.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обеспечить на своем лицевом счете в личном кабинете наличие суммы свободных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в р</w:t>
      </w:r>
      <w:r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при подаче заявки на участие в торгах воспользоваться функционалом электронной площадки по блокированию суммы задатка на лицевом счете, в сумме равной сумме задатка, требуемой для участия в торгах (пункт 2.9 Извещения).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6.5.</w:t>
      </w:r>
      <w:r>
        <w:rPr>
          <w:rFonts w:ascii="Times New Roman" w:hAnsi="Times New Roman" w:cs="Times New Roman"/>
          <w:sz w:val="24"/>
          <w:szCs w:val="24"/>
        </w:rPr>
        <w:t xml:space="preserve">  Внесением задатка признается блокирование суммы денежных средств на лицевом счете Заявителя до наступления времени окончания подачи заявок на участие в таких торгах. После наступления </w:t>
      </w:r>
      <w:r>
        <w:rPr>
          <w:rFonts w:ascii="Times New Roman" w:hAnsi="Times New Roman" w:cs="Times New Roman"/>
          <w:sz w:val="24"/>
          <w:szCs w:val="24"/>
        </w:rPr>
        <w:t xml:space="preserve">времени окончания срока подачи заявок</w:t>
      </w:r>
      <w:r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6.6.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6.7.</w:t>
      </w:r>
      <w:r>
        <w:rPr>
          <w:rFonts w:ascii="Times New Roman" w:hAnsi="Times New Roman" w:cs="Times New Roman"/>
          <w:sz w:val="24"/>
          <w:szCs w:val="24"/>
        </w:rPr>
        <w:t xml:space="preserve">  Денежные средства, заблокированные на лицевом счете Заявителя в качестве задатка, </w:t>
      </w:r>
      <w:bookmarkStart w:id="0" w:name="undefined"/>
      <w:r>
        <w:rPr>
          <w:rFonts w:ascii="Times New Roman" w:hAnsi="Times New Roman" w:cs="Times New Roman"/>
          <w:sz w:val="24"/>
          <w:szCs w:val="24"/>
        </w:rPr>
        <w:t xml:space="preserve">разблокируются</w:t>
      </w:r>
      <w:r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недопуск</w:t>
      </w:r>
      <w:r>
        <w:rPr>
          <w:rFonts w:ascii="Times New Roman" w:hAnsi="Times New Roman" w:cs="Times New Roman"/>
          <w:sz w:val="24"/>
          <w:szCs w:val="24"/>
        </w:rPr>
        <w:t xml:space="preserve"> Заявителя к участию в торгах на этапе рассмотрения заявок (после размещения на электронной торговой площадке соответствующего протокола);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отмены торгов Организатором аукциона (после размещения на электронной торговой площадке соответствующего извещения);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отзыв заявки (до момента окончания срока приема заявок) Заявителем.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осуществляет возврат (вывод) денежных средств, находящихся на его лицевом счете и не заблокированных в качестве задатков, в любое время. Для этого Заявитель заполняет в электронной форме Заявление на вывод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(с указанием корректных банковских реквизитов) и заверяет его электронной подписью. Перечисление денежных средств осуществляется Оператором электронной площадки в течение 5 рабочих дней </w:t>
      </w:r>
      <w:r>
        <w:rPr>
          <w:rFonts w:ascii="Times New Roman" w:hAnsi="Times New Roman" w:cs="Times New Roman"/>
          <w:sz w:val="24"/>
          <w:szCs w:val="24"/>
        </w:rPr>
        <w:t xml:space="preserve">с даты получения</w:t>
      </w:r>
      <w:r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 что в Заявлении указаны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возврате (выводе)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Заявителю (в качестве получателя платежа указывается исключительно сам владелец лицевого счета).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6.8.</w:t>
      </w:r>
      <w:r>
        <w:rPr>
          <w:rFonts w:ascii="Times New Roman" w:hAnsi="Times New Roman" w:cs="Times New Roman"/>
          <w:sz w:val="24"/>
          <w:szCs w:val="24"/>
        </w:rPr>
        <w:t xml:space="preserve">  Задаток победителя аукциона, а также задаток иного лица,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платы за земельный участок.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задатка Организатору аукциона в счет платы за земельный участок осуществляется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аренды земельного участка вследствие уклонения от заключения указанного договора,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не возвращаются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6.9.  </w:t>
      </w:r>
      <w:r>
        <w:rPr>
          <w:rFonts w:ascii="Times New Roman" w:hAnsi="Times New Roman" w:cs="Times New Roman"/>
          <w:sz w:val="24"/>
          <w:szCs w:val="24"/>
        </w:rPr>
        <w:t xml:space="preserve"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</w:t>
      </w:r>
      <w:r>
        <w:rPr>
          <w:rFonts w:ascii="Times New Roman" w:hAnsi="Times New Roman" w:cs="Times New Roman"/>
          <w:sz w:val="24"/>
          <w:szCs w:val="24"/>
        </w:rPr>
        <w:t xml:space="preserve">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(вывод) денежных средств осуществляется в порядке, указанном в п.п.6.7.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  Порядок расчетов и условия взимания вознаграждения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7.1.  </w:t>
      </w:r>
      <w:r>
        <w:rPr>
          <w:rFonts w:ascii="Times New Roman" w:hAnsi="Times New Roman" w:cs="Times New Roman"/>
          <w:sz w:val="24"/>
          <w:szCs w:val="24"/>
        </w:rPr>
        <w:t xml:space="preserve">Для подачи заявки на участие в аукционе в соответствии с Регламентом</w:t>
      </w:r>
      <w:r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взимания вознаграждения за оказанные услуги.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7.2.  </w:t>
      </w:r>
      <w:r>
        <w:rPr>
          <w:rFonts w:ascii="Times New Roman" w:hAnsi="Times New Roman" w:cs="Times New Roman"/>
          <w:sz w:val="24"/>
          <w:szCs w:val="24"/>
        </w:rPr>
        <w:t xml:space="preserve">Участник, признанный в протоколе об итогах торгов Победителем или лицом, с которым заключается договор по итогам торгов, обязан </w:t>
      </w:r>
      <w:r>
        <w:rPr>
          <w:rFonts w:ascii="Times New Roman" w:hAnsi="Times New Roman" w:cs="Times New Roman"/>
          <w:sz w:val="24"/>
          <w:szCs w:val="24"/>
        </w:rPr>
        <w:t xml:space="preserve">уплатить Оператору электронной площадки вознаграждение за использование программных средств электронной площадки в размере, установленном в соответствии Регламентом (п.п. 8.1.4)*, размещенном по адресу в информационно-телекоммуникационной сети «Интернет»: </w:t>
      </w:r>
      <w:hyperlink r:id="rId27" w:tooltip="https://www.fabrikant.ru/rules/common?category-id=1716" w:history="1">
        <w:r>
          <w:rPr>
            <w:rStyle w:val="886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2 000 (двух тысяч) рублей. НДС начисляется дополнительно по ставке, установленной пунктом 3 статьи 164 НК РФ на дату взимания платы.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7.3.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при подаче заявки на участие в аукционе, но не позднее времени окончания срока подачи заявок, обязан внести обеспечительный платеж, равный размеру вознаграждения по соответствующей процедуре.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Заявителем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7703668940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КПП: 770301001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Банк: АО «АЛЬФА-БАНК»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БИК: 044525593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Рекомендуемое назначение платежа: Обеспечительный платеж для участия в торговой процедуре № (указать номер процедуры на электронной площадке и лот).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7.4.</w:t>
      </w:r>
      <w:r>
        <w:rPr>
          <w:rFonts w:ascii="Times New Roman" w:hAnsi="Times New Roman" w:cs="Times New Roman"/>
          <w:sz w:val="24"/>
          <w:szCs w:val="24"/>
        </w:rPr>
        <w:t xml:space="preserve">  Сумма обеспечительного платежа должна быть перечислена единым платежом.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</w:t>
      </w:r>
      <w:r>
        <w:rPr>
          <w:rFonts w:ascii="Times New Roman" w:hAnsi="Times New Roman" w:cs="Times New Roman"/>
          <w:sz w:val="24"/>
          <w:szCs w:val="24"/>
        </w:rPr>
        <w:t xml:space="preserve">обеспечительный платеж считается невнесенным. В случае если обеспечительный платеж был внесен третьим лицом за Заявителя, в назначении платежа необходимо дополнительно указать ИНН и наименование такого Заявителя, за которого внесен обеспечительный платеж.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7.5.</w:t>
      </w:r>
      <w:r>
        <w:rPr>
          <w:rFonts w:ascii="Times New Roman" w:hAnsi="Times New Roman" w:cs="Times New Roman"/>
          <w:sz w:val="24"/>
          <w:szCs w:val="24"/>
        </w:rPr>
        <w:t xml:space="preserve">  Обеспечительный платеж Участника засчитывается в счёт исполнения таким Участником обязательства по оплате вознаграждения Оператору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7.6.</w:t>
      </w:r>
      <w:r>
        <w:rPr>
          <w:rFonts w:ascii="Times New Roman" w:hAnsi="Times New Roman" w:cs="Times New Roman"/>
          <w:sz w:val="24"/>
          <w:szCs w:val="24"/>
        </w:rPr>
        <w:t xml:space="preserve">  После завершения процедуры, а также в случае отмены аукциона, отзыва Заявителем своей з</w:t>
      </w:r>
      <w:r>
        <w:rPr>
          <w:rFonts w:ascii="Times New Roman" w:hAnsi="Times New Roman" w:cs="Times New Roman"/>
          <w:sz w:val="24"/>
          <w:szCs w:val="24"/>
        </w:rPr>
        <w:t xml:space="preserve">аявки на участие в аукционе, Заявитель вправе обратиться за возвратом ему денежных средств, внесенных им в качестве обеспечительного платежа и не подлежащих зачету в счет исполнения его обязательства по оплате вознаграждения Оператору электронной площадки.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Заявителем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28" w:tooltip="https://www.fabrikant.ru/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https://www.fabrikant.ru/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электронной площадки в течение 5 рабочих дней (со дня, следующего за днем получения такого обращения Оператором) при условии, что Заявитель указал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  Порядок, форма и срок приема и отзыва Заявок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8.1.</w:t>
      </w:r>
      <w:r>
        <w:rPr>
          <w:rFonts w:ascii="Times New Roman" w:hAnsi="Times New Roman" w:cs="Times New Roman"/>
          <w:sz w:val="24"/>
          <w:szCs w:val="24"/>
        </w:rPr>
        <w:t xml:space="preserve">  Прием Заявок обеспечивается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8.2.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Заявка (Приложение № 2) направляется Заявителем Оператору электронной площадки в сроки, указанные в пунктах 2.12, 2.13 Извещения, в форме электронного документ</w:t>
      </w:r>
      <w:r>
        <w:rPr>
          <w:rFonts w:ascii="Times New Roman" w:hAnsi="Times New Roman" w:cs="Times New Roman"/>
          <w:sz w:val="24"/>
          <w:szCs w:val="24"/>
        </w:rPr>
        <w:t xml:space="preserve">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копии документов, удостоверяющих личность заявителя (копии разворотов паспорта с фотографией и пропиской).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Один Заявитель вправе подать только одну Заявку.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8.3.  </w:t>
      </w:r>
      <w:r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</w:t>
      </w:r>
      <w:r>
        <w:rPr>
          <w:rFonts w:ascii="Times New Roman" w:hAnsi="Times New Roman" w:cs="Times New Roman"/>
          <w:sz w:val="24"/>
          <w:szCs w:val="24"/>
        </w:rPr>
        <w:t xml:space="preserve">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8.4.  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предоставления Заявки, подписанной ЭП лица, не уполномоченного действовать от имени Заявителя;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подачи одним Заявителем двух и более Заявок при условии, что поданные ранее Заявки не отозваны;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получения Заявки после установленных в пункте 2.13 Извещении дня и времени окончания срока приема Заявок;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некорректного заполнения формы заявки, в том числе </w:t>
      </w:r>
      <w:r>
        <w:rPr>
          <w:rFonts w:ascii="Times New Roman" w:hAnsi="Times New Roman" w:cs="Times New Roman"/>
          <w:sz w:val="24"/>
          <w:szCs w:val="24"/>
        </w:rPr>
        <w:t xml:space="preserve">незаполнения</w:t>
      </w:r>
      <w:r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в других случаях, предусмотренных Регламентом.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8.5.  </w:t>
      </w:r>
      <w:r>
        <w:rPr>
          <w:rFonts w:ascii="Times New Roman" w:hAnsi="Times New Roman" w:cs="Times New Roman"/>
          <w:sz w:val="24"/>
          <w:szCs w:val="24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Заявку. При этом Оператор электронной площадки направляет Заявителю соответствующее уведомление.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8.6.  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вправе отозвать Заявку в любое время до установленных даты и времени окончания срока приема Заявок (пункт 2.13 Извещения)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8.7.  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2.13 Извещения) в порядке, установленном пунктами 8.1-8.4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8.8.  </w:t>
      </w:r>
      <w:r>
        <w:rPr>
          <w:rFonts w:ascii="Times New Roman" w:hAnsi="Times New Roman" w:cs="Times New Roman"/>
          <w:sz w:val="24"/>
          <w:szCs w:val="24"/>
        </w:rPr>
        <w:t xml:space="preserve">Прием Заявок прекращается Оператором электронной площадки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в д</w:t>
      </w:r>
      <w:r>
        <w:rPr>
          <w:rFonts w:ascii="Times New Roman" w:hAnsi="Times New Roman" w:cs="Times New Roman"/>
          <w:sz w:val="24"/>
          <w:szCs w:val="24"/>
        </w:rPr>
        <w:t xml:space="preserve">ату и время окончания срока приема Заявок, указанные в пункте 2.13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8.9.  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8.10.  </w:t>
      </w:r>
      <w:r>
        <w:rPr>
          <w:rFonts w:ascii="Times New Roman" w:hAnsi="Times New Roman" w:cs="Times New Roman"/>
          <w:sz w:val="24"/>
          <w:szCs w:val="24"/>
        </w:rPr>
        <w:t xml:space="preserve">После окончания срока приема Заявок (пункт 2.13 Извещения) Оператор электронной площадки направляет Заявки Организатору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8.11.  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аукциона 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аукциона в течение 3 (трех) дней со дня принятия решения об отказе в проведен</w:t>
      </w:r>
      <w:r>
        <w:rPr>
          <w:rFonts w:ascii="Times New Roman" w:hAnsi="Times New Roman" w:cs="Times New Roman"/>
          <w:sz w:val="24"/>
          <w:szCs w:val="24"/>
        </w:rPr>
        <w:t xml:space="preserve">ии ау</w:t>
      </w:r>
      <w:r>
        <w:rPr>
          <w:rFonts w:ascii="Times New Roman" w:hAnsi="Times New Roman" w:cs="Times New Roman"/>
          <w:sz w:val="24"/>
          <w:szCs w:val="24"/>
        </w:rPr>
        <w:t xml:space="preserve">кциона обязан известить участников аукциона об отказе в проведении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  Порядок рассмотрения Заявок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9.1.  </w:t>
      </w:r>
      <w:r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9.2.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не допускается к участию в аукционе в следующих случаях: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непредставление необходимых для участия в аукционе документов или представление недостоверных сведений;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непоступление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от заявителя задатка на дату рассмотрения Заявок на участие в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аукционе;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подача Заявки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наличие сведений о Заявителе в реестре недобросовестных участников аукциона.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9.3.  </w:t>
      </w:r>
      <w:r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9.4.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Заявителям, признанным Участниками, и Заявителям, не допущенным к участию в а</w:t>
      </w:r>
      <w:r>
        <w:rPr>
          <w:rFonts w:ascii="Times New Roman" w:hAnsi="Times New Roman" w:cs="Times New Roman"/>
          <w:sz w:val="24"/>
          <w:szCs w:val="24"/>
        </w:rPr>
        <w:t xml:space="preserve">укционе, Оператор электронной площадки направляет в электронной форме в Личные кабинеты Заявителей уведомления о принятых в их отношении решениях, не позднее следующего рабочего дня после дня подписания протокола рассмотрения заявок на участие в аукционе.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9.5.  </w:t>
      </w:r>
      <w:r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r>
        <w:rPr>
          <w:rFonts w:ascii="Times New Roman" w:hAnsi="Times New Roman" w:cs="Times New Roman"/>
          <w:sz w:val="24"/>
          <w:szCs w:val="24"/>
        </w:rPr>
        <w:t xml:space="preserve">указанных</w:t>
      </w:r>
      <w:r>
        <w:rPr>
          <w:rFonts w:ascii="Times New Roman" w:hAnsi="Times New Roman" w:cs="Times New Roman"/>
          <w:sz w:val="24"/>
          <w:szCs w:val="24"/>
        </w:rPr>
        <w:t xml:space="preserve"> в пункте 2.16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8"/>
          <w:szCs w:val="28"/>
        </w:rPr>
        <w:t xml:space="preserve">10.  Порядок проведения аукциона</w:t>
      </w:r>
      <w:r>
        <w:t xml:space="preserve"> 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10.1.  </w:t>
      </w:r>
      <w:r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10.2.  </w:t>
      </w:r>
      <w:r>
        <w:rPr>
          <w:rFonts w:ascii="Times New Roman" w:hAnsi="Times New Roman" w:cs="Times New Roman"/>
          <w:sz w:val="24"/>
          <w:szCs w:val="24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электронной подписи.</w:t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10.3.  </w:t>
      </w:r>
      <w:r>
        <w:rPr>
          <w:rFonts w:ascii="Times New Roman" w:hAnsi="Times New Roman" w:cs="Times New Roman"/>
          <w:sz w:val="24"/>
          <w:szCs w:val="24"/>
        </w:rPr>
        <w:t xml:space="preserve">Процедура аукциона проводится в день и время, указанные в пункте 2.16 Извещения. Время проведения аукциона не должно совпадать со временем проведения профилактических работ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10.4.  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цены Предмета аукциона на «шаг аукциона», установленный пунктом 2.8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10.5.  </w:t>
      </w:r>
      <w:r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</w:t>
      </w:r>
      <w:r>
        <w:rPr>
          <w:rFonts w:ascii="Times New Roman" w:hAnsi="Times New Roman" w:cs="Times New Roman"/>
          <w:sz w:val="24"/>
          <w:szCs w:val="24"/>
        </w:rPr>
        <w:t xml:space="preserve">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10.6.  </w:t>
      </w:r>
      <w:r>
        <w:rPr>
          <w:rFonts w:ascii="Times New Roman" w:hAnsi="Times New Roman" w:cs="Times New Roman"/>
          <w:sz w:val="24"/>
          <w:szCs w:val="24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 (десять) минут.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10.7.  </w:t>
      </w:r>
      <w:r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10.8.  </w:t>
      </w:r>
      <w:r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10.9.  </w:t>
      </w:r>
      <w:r>
        <w:rPr>
          <w:rFonts w:ascii="Times New Roman" w:hAnsi="Times New Roman" w:cs="Times New Roman"/>
          <w:sz w:val="24"/>
          <w:szCs w:val="24"/>
        </w:rPr>
        <w:t xml:space="preserve">Ход проведения п</w:t>
      </w:r>
      <w:r>
        <w:rPr>
          <w:rFonts w:ascii="Times New Roman" w:hAnsi="Times New Roman" w:cs="Times New Roman"/>
          <w:sz w:val="24"/>
          <w:szCs w:val="24"/>
        </w:rPr>
        <w:t xml:space="preserve">роцедуры аукциона фиксируется Оператором электронной площадки в электронном журнале, который направляется Организатору аукциона в течение 1 (одного) часа со времени завершения аукциона для подготовки Организатором аукциона протокола о результатах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10.10.  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</w:t>
      </w:r>
      <w:r>
        <w:rPr>
          <w:rFonts w:ascii="Times New Roman" w:hAnsi="Times New Roman" w:cs="Times New Roman"/>
          <w:sz w:val="24"/>
          <w:szCs w:val="24"/>
        </w:rPr>
        <w:t xml:space="preserve">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10.11.  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10.12.  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 по окончании срока подачи Заявок не подано ни одной Заявки;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по окончании срока подачи Заявок была подана только одна Заявка;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об отказе в допуске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  Условия и сроки заключения договора аренды земельного участка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11.1.  </w:t>
      </w:r>
      <w:r>
        <w:rPr>
          <w:rFonts w:ascii="Times New Roman" w:hAnsi="Times New Roman" w:cs="Times New Roman"/>
          <w:sz w:val="24"/>
          <w:szCs w:val="24"/>
        </w:rPr>
        <w:t xml:space="preserve">Заключение д</w:t>
      </w:r>
      <w:r>
        <w:rPr>
          <w:rFonts w:ascii="Times New Roman" w:hAnsi="Times New Roman" w:cs="Times New Roman"/>
          <w:sz w:val="24"/>
          <w:szCs w:val="24"/>
        </w:rPr>
        <w:t xml:space="preserve">оговора аренды земельного участка (Приложение № 3)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11.2.  </w:t>
      </w:r>
      <w:r>
        <w:rPr>
          <w:rFonts w:ascii="Times New Roman" w:hAnsi="Times New Roman" w:cs="Times New Roman"/>
          <w:sz w:val="24"/>
          <w:szCs w:val="24"/>
        </w:rPr>
        <w:t xml:space="preserve">Договор аренды земельного участка заключается в электронной форме и подписывается ЭП уполномоченного представителя Продавца и победителя аукциона или и</w:t>
      </w:r>
      <w:r>
        <w:rPr>
          <w:rFonts w:ascii="Times New Roman" w:hAnsi="Times New Roman" w:cs="Times New Roman"/>
          <w:sz w:val="24"/>
          <w:szCs w:val="24"/>
        </w:rPr>
        <w:t xml:space="preserve">ного лица, с которым заключается договор аренды земельного участка в соответствии с Земельным кодексом Российской Федерации в разделе Личного кабинета «Реестр договоров». Информация размещена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9" w:tooltip="https://www.fabrikant.ru/rules/common?category-id=1705" w:history="1">
        <w:r>
          <w:rPr>
            <w:rStyle w:val="886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t xml:space="preserve">.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11.3.  </w:t>
      </w:r>
      <w:r>
        <w:rPr>
          <w:rFonts w:ascii="Times New Roman" w:hAnsi="Times New Roman" w:cs="Times New Roman"/>
          <w:sz w:val="24"/>
          <w:szCs w:val="24"/>
        </w:rPr>
        <w:t xml:space="preserve"> Не допускается заключение договора аренды земельного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ранее</w:t>
      </w:r>
      <w:r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11.4.  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признан Участником, Продавец в течение 5 (пяти) дней со дня истечения срока, предусмотренного пунк</w:t>
      </w:r>
      <w:r>
        <w:rPr>
          <w:rFonts w:ascii="Times New Roman" w:hAnsi="Times New Roman" w:cs="Times New Roman"/>
          <w:sz w:val="24"/>
          <w:szCs w:val="24"/>
        </w:rPr>
        <w:t xml:space="preserve">том 11.3 Извещения, направляет такому Участнику в раздел Личный кабинет «Реестр договоров» подписанный проект договора аренды земельного участка. При этом арендная плата за земельный участок определяется в размере, равном начальной цене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11.5.  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 окончании срок</w:t>
      </w:r>
      <w:r>
        <w:rPr>
          <w:rFonts w:ascii="Times New Roman" w:hAnsi="Times New Roman" w:cs="Times New Roman"/>
          <w:sz w:val="24"/>
          <w:szCs w:val="24"/>
        </w:rPr>
        <w:t xml:space="preserve">а подачи Заявок подана только одна Заявка на участие в аукционе,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</w:t>
      </w:r>
      <w:r>
        <w:rPr>
          <w:rFonts w:ascii="Times New Roman" w:hAnsi="Times New Roman" w:cs="Times New Roman"/>
          <w:sz w:val="24"/>
          <w:szCs w:val="24"/>
        </w:rPr>
        <w:t xml:space="preserve">ктом 11.3 Извещения, направляет такому Заявителю в раздел Личный кабинет «Реестр договоров» подписанный проект договора аренды земельного участка. При этом арендная плата за земельный участок определяется в размере, равном начальной цене предмета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11.6.  </w:t>
      </w:r>
      <w:r>
        <w:rPr>
          <w:rFonts w:ascii="Times New Roman" w:hAnsi="Times New Roman" w:cs="Times New Roman"/>
          <w:sz w:val="24"/>
          <w:szCs w:val="24"/>
        </w:rPr>
        <w:t xml:space="preserve">Продавец направляет в раздел Личный кабинет «Реестр договоров» победителю аукциона подписанный проект договора аренды земельного участка в течение 5 (пяти) дней со дня истечения срока, предусмотренного пунктом 11.3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11.7.  </w:t>
      </w:r>
      <w:r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аренды земельного участка в со</w:t>
      </w:r>
      <w:r>
        <w:rPr>
          <w:rFonts w:ascii="Times New Roman" w:hAnsi="Times New Roman" w:cs="Times New Roman"/>
          <w:sz w:val="24"/>
          <w:szCs w:val="24"/>
        </w:rPr>
        <w:t xml:space="preserve">ответствии с пунктами 13, 14 или 20 ст.39.12 Земельного кодекса Российской Федерации, обязаны подписать договор аренды земельного участка в течение 10 (десяти) рабочих дней со дня направления ему в раздел Личный кабинет «Реестр договоров» такого договора.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11.8.  </w:t>
      </w:r>
      <w:r>
        <w:rPr>
          <w:rFonts w:ascii="Times New Roman" w:hAnsi="Times New Roman" w:cs="Times New Roman"/>
          <w:sz w:val="24"/>
          <w:szCs w:val="24"/>
        </w:rPr>
        <w:t xml:space="preserve">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</w:t>
      </w:r>
      <w:r>
        <w:rPr>
          <w:rFonts w:ascii="Times New Roman" w:hAnsi="Times New Roman" w:cs="Times New Roman"/>
          <w:sz w:val="24"/>
          <w:szCs w:val="24"/>
        </w:rPr>
        <w:t xml:space="preserve">е был им подписан в разделе Личный кабинет «Реестр договоров», Продавец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11.9.  </w:t>
      </w:r>
      <w:r>
        <w:rPr>
          <w:rFonts w:ascii="Times New Roman" w:hAnsi="Times New Roman" w:cs="Times New Roman"/>
          <w:sz w:val="24"/>
          <w:szCs w:val="24"/>
        </w:rPr>
        <w:t xml:space="preserve"> 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течение 10 (десяти) рабочих дней со дня направления в раздел Личный кабинет «Реестр договоров» Участнику аукциона, который сделал предпоследнее предложение о цене предмета аукциона, проекта договора аренды земельного участка, такой Участник не</w:t>
      </w:r>
      <w:r>
        <w:rPr>
          <w:rFonts w:ascii="Times New Roman" w:hAnsi="Times New Roman" w:cs="Times New Roman"/>
          <w:sz w:val="24"/>
          <w:szCs w:val="24"/>
        </w:rPr>
        <w:t xml:space="preserve">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11.10.  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аренды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в соответствии с пунктами 13, 14, 20 или 25 ст.39.12 Земельного кодекса Российской Федерации, в течение 10 (десяти) рабочих дней со дня направления ему Организатором в раздел Личный кабинет «Реестр договоров» проекта указанного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/>
      <w:r/>
    </w:p>
    <w:sectPr>
      <w:headerReference w:type="default" r:id="rId9"/>
      <w:footnotePr/>
      <w:endnotePr/>
      <w:type w:val="nextPage"/>
      <w:pgSz w:w="11906" w:h="16838" w:orient="portrait"/>
      <w:pgMar w:top="567" w:right="707" w:bottom="426" w:left="1276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63130095"/>
      <w:docPartObj>
        <w:docPartGallery w:val="Page Numbers (Top of Page)"/>
        <w:docPartUnique w:val="true"/>
      </w:docPartObj>
      <w:rPr/>
    </w:sdtPr>
    <w:sdtContent>
      <w:p>
        <w:pPr>
          <w:pStyle w:val="881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8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2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3" w:hanging="39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363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5" w:hanging="36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855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57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9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3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5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95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6"/>
        <w:szCs w:val="26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5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5" w:default="1">
    <w:name w:val="Normal"/>
    <w:qFormat/>
  </w:style>
  <w:style w:type="character" w:styleId="696" w:default="1">
    <w:name w:val="Default Paragraph Font"/>
    <w:uiPriority w:val="1"/>
    <w:semiHidden/>
    <w:unhideWhenUsed/>
  </w:style>
  <w:style w:type="table" w:styleId="697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8" w:default="1">
    <w:name w:val="No List"/>
    <w:uiPriority w:val="99"/>
    <w:semiHidden/>
    <w:unhideWhenUsed/>
  </w:style>
  <w:style w:type="character" w:styleId="699" w:customStyle="1">
    <w:name w:val="Title Char"/>
    <w:basedOn w:val="696"/>
    <w:link w:val="724"/>
    <w:uiPriority w:val="10"/>
    <w:rPr>
      <w:sz w:val="48"/>
      <w:szCs w:val="48"/>
    </w:rPr>
  </w:style>
  <w:style w:type="character" w:styleId="700" w:customStyle="1">
    <w:name w:val="Subtitle Char"/>
    <w:basedOn w:val="696"/>
    <w:link w:val="726"/>
    <w:uiPriority w:val="11"/>
    <w:rPr>
      <w:sz w:val="24"/>
      <w:szCs w:val="24"/>
    </w:rPr>
  </w:style>
  <w:style w:type="character" w:styleId="701" w:customStyle="1">
    <w:name w:val="Quote Char"/>
    <w:link w:val="728"/>
    <w:uiPriority w:val="29"/>
    <w:rPr>
      <w:i/>
    </w:rPr>
  </w:style>
  <w:style w:type="character" w:styleId="702" w:customStyle="1">
    <w:name w:val="Intense Quote Char"/>
    <w:link w:val="730"/>
    <w:uiPriority w:val="30"/>
    <w:rPr>
      <w:i/>
    </w:rPr>
  </w:style>
  <w:style w:type="character" w:styleId="703" w:customStyle="1">
    <w:name w:val="Footnote Text Char"/>
    <w:link w:val="862"/>
    <w:uiPriority w:val="99"/>
    <w:rPr>
      <w:sz w:val="18"/>
    </w:rPr>
  </w:style>
  <w:style w:type="character" w:styleId="704" w:customStyle="1">
    <w:name w:val="Endnote Text Char"/>
    <w:link w:val="865"/>
    <w:uiPriority w:val="99"/>
    <w:rPr>
      <w:sz w:val="20"/>
    </w:rPr>
  </w:style>
  <w:style w:type="paragraph" w:styleId="705" w:customStyle="1">
    <w:name w:val="Heading 1"/>
    <w:basedOn w:val="695"/>
    <w:next w:val="695"/>
    <w:link w:val="70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706" w:customStyle="1">
    <w:name w:val="Heading 1 Char"/>
    <w:basedOn w:val="696"/>
    <w:link w:val="705"/>
    <w:uiPriority w:val="9"/>
    <w:rPr>
      <w:rFonts w:ascii="Arial" w:hAnsi="Arial" w:eastAsia="Arial" w:cs="Arial"/>
      <w:sz w:val="40"/>
      <w:szCs w:val="40"/>
    </w:rPr>
  </w:style>
  <w:style w:type="paragraph" w:styleId="707" w:customStyle="1">
    <w:name w:val="Heading 2"/>
    <w:basedOn w:val="695"/>
    <w:next w:val="695"/>
    <w:link w:val="708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708" w:customStyle="1">
    <w:name w:val="Heading 2 Char"/>
    <w:basedOn w:val="696"/>
    <w:link w:val="707"/>
    <w:uiPriority w:val="9"/>
    <w:rPr>
      <w:rFonts w:ascii="Arial" w:hAnsi="Arial" w:eastAsia="Arial" w:cs="Arial"/>
      <w:sz w:val="34"/>
    </w:rPr>
  </w:style>
  <w:style w:type="paragraph" w:styleId="709" w:customStyle="1">
    <w:name w:val="Heading 3"/>
    <w:basedOn w:val="695"/>
    <w:next w:val="695"/>
    <w:link w:val="710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710" w:customStyle="1">
    <w:name w:val="Heading 3 Char"/>
    <w:basedOn w:val="696"/>
    <w:link w:val="709"/>
    <w:uiPriority w:val="9"/>
    <w:rPr>
      <w:rFonts w:ascii="Arial" w:hAnsi="Arial" w:eastAsia="Arial" w:cs="Arial"/>
      <w:sz w:val="30"/>
      <w:szCs w:val="30"/>
    </w:rPr>
  </w:style>
  <w:style w:type="paragraph" w:styleId="711" w:customStyle="1">
    <w:name w:val="Heading 4"/>
    <w:basedOn w:val="695"/>
    <w:next w:val="695"/>
    <w:link w:val="712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2" w:customStyle="1">
    <w:name w:val="Heading 4 Char"/>
    <w:basedOn w:val="696"/>
    <w:link w:val="711"/>
    <w:uiPriority w:val="9"/>
    <w:rPr>
      <w:rFonts w:ascii="Arial" w:hAnsi="Arial" w:eastAsia="Arial" w:cs="Arial"/>
      <w:b/>
      <w:bCs/>
      <w:sz w:val="26"/>
      <w:szCs w:val="26"/>
    </w:rPr>
  </w:style>
  <w:style w:type="paragraph" w:styleId="713" w:customStyle="1">
    <w:name w:val="Heading 5"/>
    <w:basedOn w:val="695"/>
    <w:next w:val="695"/>
    <w:link w:val="71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4" w:customStyle="1">
    <w:name w:val="Heading 5 Char"/>
    <w:basedOn w:val="696"/>
    <w:link w:val="713"/>
    <w:uiPriority w:val="9"/>
    <w:rPr>
      <w:rFonts w:ascii="Arial" w:hAnsi="Arial" w:eastAsia="Arial" w:cs="Arial"/>
      <w:b/>
      <w:bCs/>
      <w:sz w:val="24"/>
      <w:szCs w:val="24"/>
    </w:rPr>
  </w:style>
  <w:style w:type="paragraph" w:styleId="715" w:customStyle="1">
    <w:name w:val="Heading 6"/>
    <w:basedOn w:val="695"/>
    <w:next w:val="695"/>
    <w:link w:val="716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716" w:customStyle="1">
    <w:name w:val="Heading 6 Char"/>
    <w:basedOn w:val="696"/>
    <w:link w:val="715"/>
    <w:uiPriority w:val="9"/>
    <w:rPr>
      <w:rFonts w:ascii="Arial" w:hAnsi="Arial" w:eastAsia="Arial" w:cs="Arial"/>
      <w:b/>
      <w:bCs/>
      <w:sz w:val="22"/>
      <w:szCs w:val="22"/>
    </w:rPr>
  </w:style>
  <w:style w:type="paragraph" w:styleId="717" w:customStyle="1">
    <w:name w:val="Heading 7"/>
    <w:basedOn w:val="695"/>
    <w:next w:val="695"/>
    <w:link w:val="71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718" w:customStyle="1">
    <w:name w:val="Heading 7 Char"/>
    <w:basedOn w:val="696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9" w:customStyle="1">
    <w:name w:val="Heading 8"/>
    <w:basedOn w:val="695"/>
    <w:next w:val="695"/>
    <w:link w:val="720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720" w:customStyle="1">
    <w:name w:val="Heading 8 Char"/>
    <w:basedOn w:val="696"/>
    <w:link w:val="719"/>
    <w:uiPriority w:val="9"/>
    <w:rPr>
      <w:rFonts w:ascii="Arial" w:hAnsi="Arial" w:eastAsia="Arial" w:cs="Arial"/>
      <w:i/>
      <w:iCs/>
      <w:sz w:val="22"/>
      <w:szCs w:val="22"/>
    </w:rPr>
  </w:style>
  <w:style w:type="paragraph" w:styleId="721" w:customStyle="1">
    <w:name w:val="Heading 9"/>
    <w:basedOn w:val="695"/>
    <w:next w:val="695"/>
    <w:link w:val="72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2" w:customStyle="1">
    <w:name w:val="Heading 9 Char"/>
    <w:basedOn w:val="696"/>
    <w:link w:val="721"/>
    <w:uiPriority w:val="9"/>
    <w:rPr>
      <w:rFonts w:ascii="Arial" w:hAnsi="Arial" w:eastAsia="Arial" w:cs="Arial"/>
      <w:i/>
      <w:iCs/>
      <w:sz w:val="21"/>
      <w:szCs w:val="21"/>
    </w:rPr>
  </w:style>
  <w:style w:type="paragraph" w:styleId="723">
    <w:name w:val="No Spacing"/>
    <w:uiPriority w:val="1"/>
    <w:qFormat/>
    <w:pPr>
      <w:spacing w:after="0" w:line="240" w:lineRule="auto"/>
    </w:pPr>
  </w:style>
  <w:style w:type="paragraph" w:styleId="724">
    <w:name w:val="Title"/>
    <w:basedOn w:val="695"/>
    <w:next w:val="695"/>
    <w:link w:val="725"/>
    <w:uiPriority w:val="10"/>
    <w:qFormat/>
    <w:pPr>
      <w:contextualSpacing/>
      <w:spacing w:before="300"/>
    </w:pPr>
    <w:rPr>
      <w:sz w:val="48"/>
      <w:szCs w:val="48"/>
    </w:rPr>
  </w:style>
  <w:style w:type="character" w:styleId="725" w:customStyle="1">
    <w:name w:val="Название Знак"/>
    <w:basedOn w:val="696"/>
    <w:link w:val="724"/>
    <w:uiPriority w:val="10"/>
    <w:rPr>
      <w:sz w:val="48"/>
      <w:szCs w:val="48"/>
    </w:rPr>
  </w:style>
  <w:style w:type="paragraph" w:styleId="726">
    <w:name w:val="Subtitle"/>
    <w:basedOn w:val="695"/>
    <w:next w:val="695"/>
    <w:link w:val="727"/>
    <w:uiPriority w:val="11"/>
    <w:qFormat/>
    <w:pPr>
      <w:spacing w:before="200"/>
    </w:pPr>
    <w:rPr>
      <w:sz w:val="24"/>
      <w:szCs w:val="24"/>
    </w:rPr>
  </w:style>
  <w:style w:type="character" w:styleId="727" w:customStyle="1">
    <w:name w:val="Подзаголовок Знак"/>
    <w:basedOn w:val="696"/>
    <w:link w:val="726"/>
    <w:uiPriority w:val="11"/>
    <w:rPr>
      <w:sz w:val="24"/>
      <w:szCs w:val="24"/>
    </w:rPr>
  </w:style>
  <w:style w:type="paragraph" w:styleId="728">
    <w:name w:val="Quote"/>
    <w:basedOn w:val="695"/>
    <w:next w:val="695"/>
    <w:link w:val="729"/>
    <w:uiPriority w:val="29"/>
    <w:qFormat/>
    <w:pPr>
      <w:ind w:left="720" w:right="720"/>
    </w:pPr>
    <w:rPr>
      <w:i/>
    </w:rPr>
  </w:style>
  <w:style w:type="character" w:styleId="729" w:customStyle="1">
    <w:name w:val="Цитата 2 Знак"/>
    <w:link w:val="728"/>
    <w:uiPriority w:val="29"/>
    <w:rPr>
      <w:i/>
    </w:rPr>
  </w:style>
  <w:style w:type="paragraph" w:styleId="730">
    <w:name w:val="Intense Quote"/>
    <w:basedOn w:val="695"/>
    <w:next w:val="695"/>
    <w:link w:val="73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 w:customStyle="1">
    <w:name w:val="Выделенная цитата Знак"/>
    <w:link w:val="730"/>
    <w:uiPriority w:val="30"/>
    <w:rPr>
      <w:i/>
    </w:rPr>
  </w:style>
  <w:style w:type="character" w:styleId="732" w:customStyle="1">
    <w:name w:val="Header Char"/>
    <w:basedOn w:val="696"/>
    <w:link w:val="881"/>
    <w:uiPriority w:val="99"/>
  </w:style>
  <w:style w:type="character" w:styleId="733" w:customStyle="1">
    <w:name w:val="Footer Char"/>
    <w:basedOn w:val="696"/>
    <w:link w:val="883"/>
    <w:uiPriority w:val="99"/>
  </w:style>
  <w:style w:type="paragraph" w:styleId="734" w:customStyle="1">
    <w:name w:val="Caption"/>
    <w:basedOn w:val="695"/>
    <w:next w:val="695"/>
    <w:link w:val="735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5" w:customStyle="1">
    <w:name w:val="Caption Char"/>
    <w:basedOn w:val="696"/>
    <w:link w:val="734"/>
    <w:uiPriority w:val="35"/>
    <w:rPr>
      <w:b/>
      <w:bCs/>
      <w:color w:val="4f81bd" w:themeColor="accent1"/>
      <w:sz w:val="18"/>
      <w:szCs w:val="18"/>
    </w:rPr>
  </w:style>
  <w:style w:type="table" w:styleId="736">
    <w:name w:val="Table Grid"/>
    <w:basedOn w:val="69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 w:customStyle="1">
    <w:name w:val="Table Grid Light"/>
    <w:basedOn w:val="69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 w:customStyle="1">
    <w:name w:val="Plain Table 1"/>
    <w:basedOn w:val="69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 w:customStyle="1">
    <w:name w:val="Plain Table 2"/>
    <w:basedOn w:val="69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 w:customStyle="1">
    <w:name w:val="Plain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 w:customStyle="1">
    <w:name w:val="Plain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Plain Table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 w:customStyle="1">
    <w:name w:val="Grid Table 4 - Accent 1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6" w:customStyle="1">
    <w:name w:val="Grid Table 4 - Accent 2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7" w:customStyle="1">
    <w:name w:val="Grid Table 4 - Accent 3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8" w:customStyle="1">
    <w:name w:val="Grid Table 4 - Accent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9" w:customStyle="1">
    <w:name w:val="Grid Table 4 - Accent 5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0" w:customStyle="1">
    <w:name w:val="Grid Table 4 - Accent 6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1" w:customStyle="1">
    <w:name w:val="Grid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9" w:customStyle="1">
    <w:name w:val="Grid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0" w:customStyle="1">
    <w:name w:val="Grid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1" w:customStyle="1">
    <w:name w:val="Grid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2" w:customStyle="1">
    <w:name w:val="Grid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3" w:customStyle="1">
    <w:name w:val="Grid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4" w:customStyle="1">
    <w:name w:val="Grid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5" w:customStyle="1">
    <w:name w:val="Grid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6" w:customStyle="1">
    <w:name w:val="List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8" w:customStyle="1">
    <w:name w:val="List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9" w:customStyle="1">
    <w:name w:val="List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0" w:customStyle="1">
    <w:name w:val="List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1" w:customStyle="1">
    <w:name w:val="List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2" w:customStyle="1">
    <w:name w:val="List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3" w:customStyle="1">
    <w:name w:val="List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4" w:customStyle="1">
    <w:name w:val="List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ned - Accent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2" w:customStyle="1">
    <w:name w:val="Lined - Accent 1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3" w:customStyle="1">
    <w:name w:val="Lined - Accent 2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4" w:customStyle="1">
    <w:name w:val="Lined - Accent 3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5" w:customStyle="1">
    <w:name w:val="Lined - Accent 4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6" w:customStyle="1">
    <w:name w:val="Lined - Accent 5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7" w:customStyle="1">
    <w:name w:val="Lined - Accent 6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8" w:customStyle="1">
    <w:name w:val="Bordered &amp; Lined - Accent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9" w:customStyle="1">
    <w:name w:val="Bordered &amp; Lined - Accent 1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0" w:customStyle="1">
    <w:name w:val="Bordered &amp; Lined - Accent 2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1" w:customStyle="1">
    <w:name w:val="Bordered &amp; Lined - Accent 3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2" w:customStyle="1">
    <w:name w:val="Bordered &amp; Lined - Accent 4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3" w:customStyle="1">
    <w:name w:val="Bordered &amp; Lined - Accent 5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4" w:customStyle="1">
    <w:name w:val="Bordered &amp; Lined - Accent 6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5" w:customStyle="1">
    <w:name w:val="Bordered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6" w:customStyle="1">
    <w:name w:val="Bordered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7" w:customStyle="1">
    <w:name w:val="Bordered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8" w:customStyle="1">
    <w:name w:val="Bordered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9" w:customStyle="1">
    <w:name w:val="Bordered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0" w:customStyle="1">
    <w:name w:val="Bordered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1" w:customStyle="1">
    <w:name w:val="Bordered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2">
    <w:name w:val="footnote text"/>
    <w:basedOn w:val="695"/>
    <w:link w:val="863"/>
    <w:uiPriority w:val="99"/>
    <w:semiHidden/>
    <w:unhideWhenUsed/>
    <w:pPr>
      <w:spacing w:after="40" w:line="240" w:lineRule="auto"/>
    </w:pPr>
    <w:rPr>
      <w:sz w:val="18"/>
    </w:rPr>
  </w:style>
  <w:style w:type="character" w:styleId="863" w:customStyle="1">
    <w:name w:val="Текст сноски Знак"/>
    <w:link w:val="862"/>
    <w:uiPriority w:val="99"/>
    <w:rPr>
      <w:sz w:val="18"/>
    </w:rPr>
  </w:style>
  <w:style w:type="character" w:styleId="864">
    <w:name w:val="footnote reference"/>
    <w:basedOn w:val="696"/>
    <w:uiPriority w:val="99"/>
    <w:unhideWhenUsed/>
    <w:rPr>
      <w:vertAlign w:val="superscript"/>
    </w:rPr>
  </w:style>
  <w:style w:type="paragraph" w:styleId="865">
    <w:name w:val="endnote text"/>
    <w:basedOn w:val="695"/>
    <w:link w:val="866"/>
    <w:uiPriority w:val="99"/>
    <w:semiHidden/>
    <w:unhideWhenUsed/>
    <w:pPr>
      <w:spacing w:after="0" w:line="240" w:lineRule="auto"/>
    </w:pPr>
    <w:rPr>
      <w:sz w:val="20"/>
    </w:rPr>
  </w:style>
  <w:style w:type="character" w:styleId="866" w:customStyle="1">
    <w:name w:val="Текст концевой сноски Знак"/>
    <w:link w:val="865"/>
    <w:uiPriority w:val="99"/>
    <w:rPr>
      <w:sz w:val="20"/>
    </w:rPr>
  </w:style>
  <w:style w:type="character" w:styleId="867">
    <w:name w:val="endnote reference"/>
    <w:basedOn w:val="696"/>
    <w:uiPriority w:val="99"/>
    <w:semiHidden/>
    <w:unhideWhenUsed/>
    <w:rPr>
      <w:vertAlign w:val="superscript"/>
    </w:rPr>
  </w:style>
  <w:style w:type="paragraph" w:styleId="868">
    <w:name w:val="toc 1"/>
    <w:basedOn w:val="695"/>
    <w:next w:val="695"/>
    <w:uiPriority w:val="39"/>
    <w:unhideWhenUsed/>
    <w:pPr>
      <w:spacing w:after="57"/>
    </w:pPr>
  </w:style>
  <w:style w:type="paragraph" w:styleId="869">
    <w:name w:val="toc 2"/>
    <w:basedOn w:val="695"/>
    <w:next w:val="695"/>
    <w:uiPriority w:val="39"/>
    <w:unhideWhenUsed/>
    <w:pPr>
      <w:ind w:left="283"/>
      <w:spacing w:after="57"/>
    </w:pPr>
  </w:style>
  <w:style w:type="paragraph" w:styleId="870">
    <w:name w:val="toc 3"/>
    <w:basedOn w:val="695"/>
    <w:next w:val="695"/>
    <w:uiPriority w:val="39"/>
    <w:unhideWhenUsed/>
    <w:pPr>
      <w:ind w:left="567"/>
      <w:spacing w:after="57"/>
    </w:pPr>
  </w:style>
  <w:style w:type="paragraph" w:styleId="871">
    <w:name w:val="toc 4"/>
    <w:basedOn w:val="695"/>
    <w:next w:val="695"/>
    <w:uiPriority w:val="39"/>
    <w:unhideWhenUsed/>
    <w:pPr>
      <w:ind w:left="850"/>
      <w:spacing w:after="57"/>
    </w:pPr>
  </w:style>
  <w:style w:type="paragraph" w:styleId="872">
    <w:name w:val="toc 5"/>
    <w:basedOn w:val="695"/>
    <w:next w:val="695"/>
    <w:uiPriority w:val="39"/>
    <w:unhideWhenUsed/>
    <w:pPr>
      <w:ind w:left="1134"/>
      <w:spacing w:after="57"/>
    </w:pPr>
  </w:style>
  <w:style w:type="paragraph" w:styleId="873">
    <w:name w:val="toc 6"/>
    <w:basedOn w:val="695"/>
    <w:next w:val="695"/>
    <w:uiPriority w:val="39"/>
    <w:unhideWhenUsed/>
    <w:pPr>
      <w:ind w:left="1417"/>
      <w:spacing w:after="57"/>
    </w:pPr>
  </w:style>
  <w:style w:type="paragraph" w:styleId="874">
    <w:name w:val="toc 7"/>
    <w:basedOn w:val="695"/>
    <w:next w:val="695"/>
    <w:uiPriority w:val="39"/>
    <w:unhideWhenUsed/>
    <w:pPr>
      <w:ind w:left="1701"/>
      <w:spacing w:after="57"/>
    </w:pPr>
  </w:style>
  <w:style w:type="paragraph" w:styleId="875">
    <w:name w:val="toc 8"/>
    <w:basedOn w:val="695"/>
    <w:next w:val="695"/>
    <w:uiPriority w:val="39"/>
    <w:unhideWhenUsed/>
    <w:pPr>
      <w:ind w:left="1984"/>
      <w:spacing w:after="57"/>
    </w:pPr>
  </w:style>
  <w:style w:type="paragraph" w:styleId="876">
    <w:name w:val="toc 9"/>
    <w:basedOn w:val="695"/>
    <w:next w:val="695"/>
    <w:uiPriority w:val="39"/>
    <w:unhideWhenUsed/>
    <w:pPr>
      <w:ind w:left="2268"/>
      <w:spacing w:after="57"/>
    </w:pPr>
  </w:style>
  <w:style w:type="paragraph" w:styleId="877">
    <w:name w:val="TOC Heading"/>
    <w:uiPriority w:val="39"/>
    <w:unhideWhenUsed/>
  </w:style>
  <w:style w:type="paragraph" w:styleId="878">
    <w:name w:val="table of figures"/>
    <w:basedOn w:val="695"/>
    <w:next w:val="695"/>
    <w:uiPriority w:val="99"/>
    <w:unhideWhenUsed/>
    <w:pPr>
      <w:spacing w:after="0"/>
    </w:pPr>
  </w:style>
  <w:style w:type="paragraph" w:styleId="879">
    <w:name w:val="Body Text 3"/>
    <w:basedOn w:val="695"/>
    <w:link w:val="880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880" w:customStyle="1">
    <w:name w:val="Основной текст 3 Знак"/>
    <w:basedOn w:val="696"/>
    <w:link w:val="879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881" w:customStyle="1">
    <w:name w:val="Header"/>
    <w:basedOn w:val="695"/>
    <w:link w:val="88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2" w:customStyle="1">
    <w:name w:val="Верхний колонтитул Знак"/>
    <w:basedOn w:val="696"/>
    <w:link w:val="881"/>
    <w:uiPriority w:val="99"/>
  </w:style>
  <w:style w:type="paragraph" w:styleId="883" w:customStyle="1">
    <w:name w:val="Footer"/>
    <w:basedOn w:val="695"/>
    <w:link w:val="884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4" w:customStyle="1">
    <w:name w:val="Нижний колонтитул Знак"/>
    <w:basedOn w:val="696"/>
    <w:link w:val="883"/>
    <w:uiPriority w:val="99"/>
    <w:semiHidden/>
  </w:style>
  <w:style w:type="paragraph" w:styleId="885">
    <w:name w:val="List Paragraph"/>
    <w:basedOn w:val="695"/>
    <w:uiPriority w:val="34"/>
    <w:qFormat/>
    <w:pPr>
      <w:contextualSpacing/>
      <w:ind w:left="720"/>
    </w:pPr>
  </w:style>
  <w:style w:type="character" w:styleId="886">
    <w:name w:val="Hyperlink"/>
    <w:basedOn w:val="696"/>
    <w:uiPriority w:val="99"/>
    <w:unhideWhenUsed/>
    <w:rPr>
      <w:color w:val="0000ff" w:themeColor="hyperlink"/>
      <w:u w:val="single"/>
    </w:rPr>
  </w:style>
  <w:style w:type="paragraph" w:styleId="887">
    <w:name w:val="Body Text 2"/>
    <w:basedOn w:val="695"/>
    <w:link w:val="888"/>
    <w:uiPriority w:val="99"/>
    <w:semiHidden/>
    <w:unhideWhenUsed/>
    <w:pPr>
      <w:spacing w:after="120" w:line="480" w:lineRule="auto"/>
    </w:pPr>
  </w:style>
  <w:style w:type="character" w:styleId="888" w:customStyle="1">
    <w:name w:val="Основной текст 2 Знак"/>
    <w:basedOn w:val="696"/>
    <w:link w:val="887"/>
    <w:uiPriority w:val="99"/>
    <w:semiHidden/>
  </w:style>
  <w:style w:type="paragraph" w:styleId="889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Calibri" w:cs="Arial"/>
      <w:sz w:val="20"/>
      <w:szCs w:val="20"/>
      <w:lang w:eastAsia="ru-RU"/>
    </w:rPr>
  </w:style>
  <w:style w:type="character" w:styleId="890" w:customStyle="1">
    <w:name w:val="Date_num"/>
    <w:basedOn w:val="696"/>
  </w:style>
  <w:style w:type="character" w:styleId="891" w:customStyle="1">
    <w:name w:val="Unresolved Mention"/>
    <w:basedOn w:val="696"/>
    <w:uiPriority w:val="99"/>
    <w:semiHidden/>
    <w:unhideWhenUsed/>
    <w:rPr>
      <w:color w:val="605e5c"/>
      <w:shd w:val="clear" w:color="auto" w:fill="e1dfdd"/>
    </w:rPr>
  </w:style>
  <w:style w:type="paragraph" w:styleId="892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paragraph" w:styleId="893">
    <w:name w:val="Body Text Indent 2"/>
    <w:basedOn w:val="695"/>
    <w:link w:val="894"/>
    <w:uiPriority w:val="99"/>
    <w:unhideWhenUsed/>
    <w:pPr>
      <w:ind w:left="283"/>
      <w:spacing w:after="120" w:line="480" w:lineRule="auto"/>
    </w:pPr>
    <w:rPr>
      <w:rFonts w:ascii="Times New Roman" w:hAnsi="Times New Roman" w:eastAsia="Calibri" w:cs="Times New Roman"/>
      <w:sz w:val="26"/>
      <w:szCs w:val="20"/>
      <w:lang w:eastAsia="ru-RU"/>
    </w:rPr>
  </w:style>
  <w:style w:type="character" w:styleId="894" w:customStyle="1">
    <w:name w:val="Основной текст с отступом 2 Знак"/>
    <w:basedOn w:val="696"/>
    <w:link w:val="893"/>
    <w:uiPriority w:val="99"/>
    <w:rPr>
      <w:rFonts w:ascii="Times New Roman" w:hAnsi="Times New Roman" w:eastAsia="Calibri" w:cs="Times New Roman"/>
      <w:sz w:val="26"/>
      <w:szCs w:val="20"/>
      <w:lang w:eastAsia="ru-RU"/>
    </w:rPr>
  </w:style>
  <w:style w:type="paragraph" w:styleId="895">
    <w:name w:val="Balloon Text"/>
    <w:basedOn w:val="695"/>
    <w:link w:val="89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6" w:customStyle="1">
    <w:name w:val="Текст выноски Знак"/>
    <w:basedOn w:val="696"/>
    <w:link w:val="895"/>
    <w:uiPriority w:val="99"/>
    <w:semiHidden/>
    <w:rPr>
      <w:rFonts w:ascii="Tahoma" w:hAnsi="Tahoma" w:cs="Tahoma"/>
      <w:sz w:val="16"/>
      <w:szCs w:val="16"/>
    </w:rPr>
  </w:style>
  <w:style w:type="paragraph" w:styleId="897" w:customStyle="1">
    <w:name w:val="rezul"/>
    <w:basedOn w:val="695"/>
    <w:pPr>
      <w:ind w:firstLine="283"/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b/>
      <w:szCs w:val="20"/>
      <w:lang w:val="en-US"/>
    </w:rPr>
  </w:style>
  <w:style w:type="character" w:styleId="898" w:customStyle="1">
    <w:name w:val="docdata"/>
    <w:basedOn w:val="696"/>
  </w:style>
  <w:style w:type="paragraph" w:styleId="899">
    <w:name w:val="Normal (Web)"/>
    <w:basedOn w:val="695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&#1085;&#1080;&#1078;&#1085;&#1080;&#1081;&#1085;&#1086;&#1074;&#1075;&#1086;&#1088;&#1086;&#1076;.&#1088;&#1092;" TargetMode="External"/><Relationship Id="rId12" Type="http://schemas.openxmlformats.org/officeDocument/2006/relationships/hyperlink" Target="mailto:ann@admgor.nnov.ru" TargetMode="External"/><Relationship Id="rId13" Type="http://schemas.openxmlformats.org/officeDocument/2006/relationships/hyperlink" Target="mailto:kugi@admgor.nnov.ru" TargetMode="External"/><Relationship Id="rId14" Type="http://schemas.openxmlformats.org/officeDocument/2006/relationships/hyperlink" Target="http://www.fabrikant.ru" TargetMode="External"/><Relationship Id="rId15" Type="http://schemas.openxmlformats.org/officeDocument/2006/relationships/hyperlink" Target="mailto:realty@etpz.ru" TargetMode="External"/><Relationship Id="rId16" Type="http://schemas.openxmlformats.org/officeDocument/2006/relationships/hyperlink" Target="https://www.fabrikant.ru/rules/common?category-id=1716" TargetMode="External"/><Relationship Id="rId17" Type="http://schemas.openxmlformats.org/officeDocument/2006/relationships/hyperlink" Target="http://www.fabrikant.ru" TargetMode="External"/><Relationship Id="rId18" Type="http://schemas.openxmlformats.org/officeDocument/2006/relationships/hyperlink" Target="http://www.fabrikant.ru" TargetMode="External"/><Relationship Id="rId19" Type="http://schemas.openxmlformats.org/officeDocument/2006/relationships/hyperlink" Target="http://www.torgi.gov.ru" TargetMode="External"/><Relationship Id="rId20" Type="http://schemas.openxmlformats.org/officeDocument/2006/relationships/hyperlink" Target="http://www.&#1085;&#1080;&#1078;&#1085;&#1080;&#1081;&#1085;&#1086;&#1074;&#1075;&#1086;&#1088;&#1086;&#1076;.&#1088;&#1092;" TargetMode="External"/><Relationship Id="rId21" Type="http://schemas.openxmlformats.org/officeDocument/2006/relationships/hyperlink" Target="http://www.fabrikant.ru" TargetMode="External"/><Relationship Id="rId22" Type="http://schemas.openxmlformats.org/officeDocument/2006/relationships/hyperlink" Target="http://www.torgi.gov.ru" TargetMode="External"/><Relationship Id="rId23" Type="http://schemas.openxmlformats.org/officeDocument/2006/relationships/hyperlink" Target="http://www.torgi.gov.ru" TargetMode="External"/><Relationship Id="rId24" Type="http://schemas.openxmlformats.org/officeDocument/2006/relationships/hyperlink" Target="https://www.fabrikant.ru/rules/common?category-id=1547" TargetMode="External"/><Relationship Id="rId25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27" Type="http://schemas.openxmlformats.org/officeDocument/2006/relationships/hyperlink" Target="https://www.fabrikant.ru/rules/common?category-id=1716" TargetMode="External"/><Relationship Id="rId28" Type="http://schemas.openxmlformats.org/officeDocument/2006/relationships/hyperlink" Target="https://www.fabrikant.ru/" TargetMode="External"/><Relationship Id="rId29" Type="http://schemas.openxmlformats.org/officeDocument/2006/relationships/hyperlink" Target="https://www.fabrikant.ru/rules/common?category-id=170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F54D4-236C-4765-97A3-D48887A0A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l.sozonova</cp:lastModifiedBy>
  <cp:revision>52</cp:revision>
  <dcterms:created xsi:type="dcterms:W3CDTF">2025-03-27T14:30:00Z</dcterms:created>
  <dcterms:modified xsi:type="dcterms:W3CDTF">2026-01-28T06:54:01Z</dcterms:modified>
</cp:coreProperties>
</file>