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r/>
      <w:r/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:0050119</w:t>
      </w:r>
      <w:r>
        <w:rPr>
          <w:color w:val="000000"/>
          <w:sz w:val="28"/>
          <w:szCs w:val="28"/>
        </w:rPr>
        <w:t xml:space="preserve">:278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ул. Политотдельская, д. 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1086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риаэродромной территории аэродрома гражданской авиации Нижний Новгород (Стригино) (реестровый номер: 52:00-6.1079): подзона 3 (реестровый номер: 52:00-6.1076) (сектор 1)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 </w:t>
      </w:r>
      <w:r>
        <w:rPr>
          <w:sz w:val="28"/>
          <w:szCs w:val="28"/>
        </w:rPr>
        <w:t xml:space="preserve">аэродрома гражданской авиации Нижний Новгород (Стригино) (реестровый номер: 52:00-6.1079): подзона 4 (реестровый номер: 52:00-6.1083) (сектор 26)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аэродрома гражданской авиации Нижний Новгород (Стригино) (реестровый номер: 52:00-6.1079): подзона 6 (реестровый номер: 52:00-6.1078)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</w:rPr>
        <w:t xml:space="preserve">риаэродромной территории </w:t>
      </w:r>
      <w:r>
        <w:rPr>
          <w:sz w:val="28"/>
          <w:szCs w:val="28"/>
        </w:rPr>
        <w:t xml:space="preserve">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</w:rPr>
        <w:t xml:space="preserve">оны </w:t>
      </w:r>
      <w:r>
        <w:rPr>
          <w:sz w:val="28"/>
          <w:szCs w:val="28"/>
        </w:rPr>
        <w:t xml:space="preserve">санитарной охраны (3 пояс) водопроводных станций АО "Нижегородский водоканал" Малиновая гряда и Слудинская, расположенных на реке Оке в Нижегородской области, городском округе город Нижний Новгород (реестровый номер: 52:18-6.1769)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</w:rPr>
        <w:t xml:space="preserve">оны </w:t>
      </w:r>
      <w:r>
        <w:rPr>
          <w:sz w:val="28"/>
          <w:szCs w:val="28"/>
        </w:rPr>
        <w:t xml:space="preserve">санитарной охраны водозаборов (3 пояс), (подающих воду из поверхностного источника питьевого и хозяйственно-бытового водоснабжения - Чебоксарское водохранилище: р.Ока, р.Волга)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</w:rPr>
        <w:t xml:space="preserve">оны умеренного подтопления, установленной в отношении территорий г.Н.Новгород городского округа Нижний Новгород Нижегородской области, прилегающих к р.Ока (Чебоксарское водохранилище), затапливаемых при половодьях и паводках 1% обеспеченности с учетом фак</w:t>
      </w:r>
      <w:r>
        <w:rPr>
          <w:sz w:val="28"/>
          <w:szCs w:val="28"/>
        </w:rPr>
        <w:t xml:space="preserve">тически затапливаемых территорий за предыдущие 100 лет наблюдений (реестровый номер: 52:00-6.1249)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</w:rPr>
        <w:t xml:space="preserve">хранной зоны </w:t>
      </w:r>
      <w:r>
        <w:rPr>
          <w:sz w:val="28"/>
          <w:szCs w:val="28"/>
        </w:rPr>
        <w:t xml:space="preserve">объекта: СООРУЖЕНИЕ (ГАЗОПРОВОД, в состав которого входят 54 ГРП), назначение: СЕТЬ ГАЗОСНАБЖЕНИЯ, Протяженность 400449,29 п.м., инв.№ 90530, адрес (местонахождение) объекта: Нижегородская область, г.Нижний Новгород, АВТОЗАВОДСКИЙ, ЛЕНИНСКИЙ,</w:t>
      </w:r>
      <w:r>
        <w:rPr>
          <w:sz w:val="28"/>
          <w:szCs w:val="28"/>
        </w:rPr>
        <w:t xml:space="preserve"> КАНАВИНСКИЙ РАЙОНЫ, назначение: 7.7. Сооружения трубопроводного транспорта, кадастровый номер 52:18:0000000:10743 (реестровый номер 52:00-6.1237)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</w:t>
      </w:r>
      <w:r>
        <w:rPr>
          <w:sz w:val="28"/>
          <w:szCs w:val="28"/>
        </w:rPr>
        <w:t xml:space="preserve">анитарно - защитной полосы водопровода по обе стороны от крайних линий водопровода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м</w:t>
      </w:r>
      <w:r>
        <w:rPr>
          <w:sz w:val="28"/>
          <w:szCs w:val="28"/>
        </w:rPr>
        <w:t xml:space="preserve">инимального расстояния от водозабора подземных вод до кладбища в условиях защищенных подземных вод (полностью)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 w:val="0"/>
          <w:bCs w:val="0"/>
          <w:sz w:val="32"/>
          <w:szCs w:val="32"/>
          <w:highlight w:val="none"/>
        </w:rPr>
      </w:pP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contextualSpacing w:val="0"/>
        <w:ind w:firstLine="540"/>
        <w:jc w:val="both"/>
        <w:widowControl w:val="off"/>
        <w:rPr>
          <w:color w:val="000000"/>
          <w:sz w:val="28"/>
          <w:szCs w:val="28"/>
        </w:rPr>
        <w:suppressLineNumbers w:val="0"/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contextualSpacing w:val="0"/>
        <w:ind w:firstLine="567"/>
        <w:jc w:val="both"/>
        <w:widowControl w:val="off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  <w:r/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36611406024041000430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ул. Политотдельская, д. 5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r/>
      <w:r/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r/>
      <w:r/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5. Особые условия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5.1. При использовании земельного участка соблюд</w:t>
      </w:r>
      <w:r>
        <w:rPr>
          <w:sz w:val="28"/>
          <w:szCs w:val="28"/>
        </w:rPr>
        <w:t xml:space="preserve">ать условия по обеспечению охранной зоны </w:t>
      </w:r>
      <w:r>
        <w:rPr>
          <w:sz w:val="28"/>
          <w:szCs w:val="28"/>
        </w:rPr>
        <w:t xml:space="preserve">объекта: СООРУЖЕНИЕ (ГАЗОПРОВОД, в состав которого входят 54 ГРП), назначение: СЕТЬ ГАЗОСНАБЖЕНИЯ, Протяженность 400449,29 п.м., инв.№ 90530, адрес (местонахождение) объекта: Нижегородская область, г.Нижний Новгород, АВТОЗАВОДСКИЙ, ЛЕНИНСКИЙ,</w:t>
      </w:r>
      <w:r>
        <w:rPr>
          <w:sz w:val="28"/>
          <w:szCs w:val="28"/>
        </w:rPr>
        <w:t xml:space="preserve"> КАНАВИНСКИЙ РАЙОНЫ, назначение: 7.7. Сооружения трубопроводного транспорта, кадастровый номер 52:18:0000000:10743 (реестровый номер 52:00-6.1237)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охраны газораспределительных сетей, утвержденными постановлением Правительства РФ от 20.11.2000 № 878 </w:t>
      </w:r>
      <w:r>
        <w:rPr>
          <w:rFonts w:ascii="Times New Roman" w:hAnsi="Times New Roman" w:cs="Times New Roman"/>
          <w:sz w:val="28"/>
          <w:szCs w:val="26"/>
        </w:rPr>
        <w:t xml:space="preserve">«Об утверждении правил охраны газораспределительных сетей»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6.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r/>
      <w:r/>
    </w:p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6.5.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7.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7.1. Приложение № 1 – Выписка из ЕГРН.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8.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земельный участок);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:0050119</w:t>
      </w:r>
      <w:r>
        <w:rPr>
          <w:color w:val="000000"/>
          <w:sz w:val="28"/>
          <w:szCs w:val="28"/>
        </w:rPr>
        <w:t xml:space="preserve">:278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ул. Политотдельская, д. 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1086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2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5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ind w:left="540"/>
      <w:jc w:val="both"/>
      <w:keepNext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ind w:right="-2"/>
      <w:jc w:val="both"/>
      <w:widowControl w:val="off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  <w:style w:type="paragraph" w:styleId="890" w:customStyle="1">
    <w:name w:val="ConsPlusNormal"/>
    <w:next w:val="769"/>
    <w:link w:val="731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</cp:lastModifiedBy>
  <cp:revision>167</cp:revision>
  <dcterms:created xsi:type="dcterms:W3CDTF">2017-11-02T13:06:00Z</dcterms:created>
  <dcterms:modified xsi:type="dcterms:W3CDTF">2026-01-28T12:37:17Z</dcterms:modified>
  <cp:version>786432</cp:version>
</cp:coreProperties>
</file>