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КОМИТЕТ ПО УПРАВЛЕНИЮ ГОРОДСКИМ ИМУЩЕСТВОМ И ЗЕМЕЛЬНЫМИ РЕСУРСАМИ 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АДМИНИСТРАЦИИ ГОРОДА НИЖНЕГО НОВГОРОДА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 xml:space="preserve">ИНФОРМАЦИОННОЕ СООБЩЕНИЕ</w:t>
      </w:r>
      <w:r>
        <w:rPr>
          <w:b/>
          <w:color w:val="000000"/>
        </w:rPr>
        <w:t xml:space="preserve"> </w:t>
      </w:r>
      <w:r>
        <w:rPr>
          <w:b/>
          <w:color w:val="000000"/>
          <w:sz w:val="26"/>
          <w:szCs w:val="26"/>
        </w:rPr>
        <w:t xml:space="preserve">№ 03/2026 о проведении</w:t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18 марта 2026</w:t>
      </w:r>
      <w:r>
        <w:rPr>
          <w:b/>
          <w:color w:val="000000"/>
          <w:sz w:val="30"/>
          <w:szCs w:val="30"/>
          <w:u w:val="single"/>
        </w:rPr>
        <w:t xml:space="preserve"> года аукциона в электронной форме с открытой формой подачи предложений о цене</w:t>
      </w:r>
      <w:r>
        <w:rPr>
          <w:b/>
          <w:color w:val="000000"/>
          <w:sz w:val="30"/>
          <w:szCs w:val="30"/>
          <w:u w:val="single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 продаже имущества, находящегося в собственности муниципального образования городской округ город Нижний Новгород,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на Национальной электронной площадке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https://www.fabrikant.ru/ в сети Интернет</w:t>
      </w:r>
      <w:r>
        <w:rPr>
          <w:b/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 xml:space="preserve">тел.:</w:t>
      </w:r>
      <w:r>
        <w:rPr>
          <w:bCs/>
          <w:color w:val="000000"/>
          <w:sz w:val="26"/>
          <w:szCs w:val="26"/>
        </w:rPr>
        <w:t xml:space="preserve"> (831) 435-69-24, </w:t>
      </w:r>
      <w:r>
        <w:rPr>
          <w:color w:val="000000"/>
          <w:sz w:val="26"/>
          <w:szCs w:val="26"/>
          <w:lang w:val="en-US"/>
        </w:rPr>
        <w:t xml:space="preserve">e</w:t>
      </w:r>
      <w:r>
        <w:rPr>
          <w:color w:val="000000"/>
          <w:sz w:val="26"/>
          <w:szCs w:val="26"/>
        </w:rPr>
        <w:t xml:space="preserve">-</w:t>
      </w:r>
      <w:r>
        <w:rPr>
          <w:color w:val="000000"/>
          <w:sz w:val="26"/>
          <w:szCs w:val="26"/>
        </w:rPr>
        <w:t xml:space="preserve">mail</w:t>
      </w:r>
      <w:r>
        <w:rPr>
          <w:color w:val="000000"/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 xml:space="preserve">kugi</w:t>
      </w:r>
      <w:r>
        <w:rPr>
          <w:sz w:val="26"/>
          <w:szCs w:val="26"/>
        </w:rPr>
        <w:t xml:space="preserve">@</w:t>
      </w:r>
      <w:r>
        <w:rPr>
          <w:sz w:val="26"/>
          <w:szCs w:val="26"/>
          <w:lang w:val="en-US"/>
        </w:rPr>
        <w:t xml:space="preserve">admgor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nnov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bCs/>
          <w:color w:val="000000"/>
          <w:sz w:val="26"/>
          <w:szCs w:val="26"/>
        </w:rPr>
        <w:t xml:space="preserve">).</w:t>
      </w:r>
      <w:r>
        <w:rPr>
          <w:bCs/>
          <w:color w:val="000000"/>
          <w:sz w:val="26"/>
          <w:szCs w:val="26"/>
        </w:rPr>
      </w:r>
    </w:p>
    <w:p>
      <w:pPr>
        <w:pStyle w:val="903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r>
        <w:rPr>
          <w:bCs/>
          <w:sz w:val="26"/>
          <w:szCs w:val="26"/>
          <w:u w:val="single"/>
        </w:rPr>
        <w:t xml:space="preserve">www.нижнийновгород.рф</w:t>
      </w:r>
      <w:r>
        <w:rPr>
          <w:bCs/>
          <w:sz w:val="26"/>
          <w:szCs w:val="26"/>
          <w:u w:val="single"/>
        </w:rPr>
        <w:t xml:space="preserve">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 xml:space="preserve">Организатор торгов</w:t>
      </w:r>
      <w:r>
        <w:rPr>
          <w:color w:val="000000"/>
          <w:sz w:val="26"/>
          <w:szCs w:val="26"/>
        </w:rPr>
        <w:t xml:space="preserve"> – АО «Электронные торговые системы»</w:t>
      </w:r>
      <w:r>
        <w:rPr>
          <w:color w:val="000000"/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 xml:space="preserve">https://</w:t>
      </w:r>
      <w:r>
        <w:rPr>
          <w:sz w:val="26"/>
          <w:szCs w:val="26"/>
          <w:lang w:val="en-US" w:eastAsia="en-US"/>
        </w:rPr>
        <w:t xml:space="preserve">www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  <w:t xml:space="preserve">fabrikant.ru</w:t>
      </w:r>
      <w:r>
        <w:rPr>
          <w:sz w:val="26"/>
          <w:szCs w:val="26"/>
          <w:lang w:eastAsia="en-US"/>
        </w:rPr>
        <w:t xml:space="preserve">/</w:t>
      </w:r>
      <w:r>
        <w:rPr>
          <w:color w:val="000000"/>
          <w:sz w:val="26"/>
          <w:szCs w:val="26"/>
          <w:lang w:eastAsia="en-US"/>
        </w:rPr>
        <w:t xml:space="preserve">).</w:t>
      </w:r>
      <w:r>
        <w:rPr>
          <w:color w:val="000000"/>
          <w:sz w:val="26"/>
          <w:szCs w:val="26"/>
          <w:lang w:eastAsia="en-US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по продаже имущества,</w:t>
      </w:r>
      <w:r>
        <w:rPr>
          <w:color w:val="000000"/>
          <w:sz w:val="26"/>
          <w:szCs w:val="26"/>
        </w:rPr>
        <w:t xml:space="preserve"> находящегося в собственности муниципального образования городской округ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</w:t>
      </w:r>
      <w:r>
        <w:rPr>
          <w:color w:val="000000"/>
          <w:sz w:val="26"/>
          <w:szCs w:val="26"/>
        </w:rPr>
        <w:t xml:space="preserve"> приватизации государственного и муниципального имущества» (далее – Закон о приватизации), 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</w:t>
      </w:r>
      <w:r>
        <w:rPr>
          <w:color w:val="000000"/>
          <w:sz w:val="26"/>
          <w:szCs w:val="26"/>
        </w:rPr>
        <w:t xml:space="preserve"> форме», на основан</w:t>
      </w:r>
      <w:r>
        <w:rPr>
          <w:color w:val="000000"/>
          <w:sz w:val="26"/>
          <w:szCs w:val="26"/>
        </w:rPr>
        <w:t xml:space="preserve">ии решения городской Думы города Нижнего Новгорода от 17.12.2025 № 135 «О Прогнозном плане (программе) приватизации муниципального имущества, находящегося в собственности муниципального образования городской округ город Нижний Новгород, на 2026-2028 годы».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городской округ город Нижний Новгород, выставляемого на продажу в электронной форме (информация о продаже также размещена на сайтах в сети «Интернет» </w:t>
      </w:r>
      <w:r>
        <w:rPr>
          <w:b/>
          <w:bCs/>
          <w:sz w:val="26"/>
          <w:szCs w:val="26"/>
          <w:u w:val="single"/>
        </w:rPr>
        <w:t xml:space="preserve">www.нижнийновгород</w:t>
      </w:r>
      <w:r>
        <w:rPr>
          <w:b/>
          <w:bCs/>
          <w:sz w:val="26"/>
          <w:szCs w:val="26"/>
          <w:u w:val="single"/>
        </w:rPr>
        <w:t xml:space="preserve">.р</w:t>
      </w:r>
      <w:r>
        <w:rPr>
          <w:b/>
          <w:bCs/>
          <w:sz w:val="26"/>
          <w:szCs w:val="26"/>
          <w:u w:val="single"/>
        </w:rPr>
        <w:t xml:space="preserve">ф</w:t>
      </w:r>
      <w:r>
        <w:rPr>
          <w:b/>
          <w:bCs/>
          <w:sz w:val="26"/>
          <w:szCs w:val="26"/>
          <w:u w:val="single"/>
        </w:rPr>
        <w:t xml:space="preserve">,</w:t>
      </w:r>
      <w:r>
        <w:rPr>
          <w:b/>
          <w:bCs/>
          <w:sz w:val="26"/>
          <w:szCs w:val="26"/>
        </w:rPr>
        <w:t xml:space="preserve"> </w:t>
      </w:r>
      <w:hyperlink r:id="rId11" w:tooltip="http://www.torgi.gov.ru" w:history="1">
        <w:r>
          <w:rPr>
            <w:rStyle w:val="912"/>
            <w:b/>
            <w:bCs/>
            <w:color w:val="000000"/>
            <w:sz w:val="26"/>
            <w:szCs w:val="26"/>
          </w:rPr>
          <w:t xml:space="preserve">www.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torgi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gov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ru</w:t>
        </w:r>
      </w:hyperlink>
      <w:r>
        <w:rPr>
          <w:b/>
          <w:bCs/>
          <w:color w:val="000000"/>
          <w:sz w:val="26"/>
          <w:szCs w:val="26"/>
          <w:u w:val="single"/>
        </w:rPr>
        <w:t xml:space="preserve">):</w:t>
      </w:r>
      <w:r>
        <w:rPr>
          <w:b/>
          <w:bCs/>
          <w:color w:val="000000"/>
          <w:sz w:val="26"/>
          <w:szCs w:val="26"/>
          <w:u w:val="single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5644" w:type="dxa"/>
        <w:jc w:val="center"/>
        <w:tblInd w:w="-2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552"/>
        <w:gridCol w:w="2977"/>
        <w:gridCol w:w="1134"/>
        <w:gridCol w:w="992"/>
        <w:gridCol w:w="850"/>
        <w:gridCol w:w="2506"/>
        <w:gridCol w:w="1418"/>
        <w:gridCol w:w="1417"/>
        <w:gridCol w:w="1134"/>
      </w:tblGrid>
      <w:tr>
        <w:tblPrEx/>
        <w:trPr>
          <w:jc w:val="center"/>
          <w:trHeight w:val="1829" w:hRule="exact"/>
        </w:trPr>
        <w:tc>
          <w:tcPr>
            <w:shd w:val="clear" w:color="auto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  <w:lang w:val="en-US" w:eastAsia="en-US" w:bidi="en-US"/>
              </w:rPr>
              <w:t xml:space="preserve">№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лота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Местонахождение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Кадастровый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Общая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 (кв</w:t>
            </w:r>
            <w:r>
              <w:rPr>
                <w:rStyle w:val="931"/>
                <w:sz w:val="22"/>
                <w:szCs w:val="22"/>
              </w:rPr>
              <w:t xml:space="preserve">.м</w:t>
            </w:r>
            <w:r>
              <w:rPr>
                <w:rStyle w:val="931"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Год ввода дома в эксплуатацию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Описание 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Начальная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(с учетом НДС)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Задаток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(10% от начальной цены объекта)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Шаг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аукциона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1537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Нежилое помещение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(этаж № 1)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Российская Федерация, Нижегородская обл., городской округ город Нижний Новгород,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г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. Нижний</w:t>
            </w:r>
            <w:r/>
          </w:p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Новгород, ул.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Чукотская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, д.3А,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пом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. П11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52:18:0070228:1884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Нежилое помещение расположено на первом этаже пятиэтажного жилого дома. Вход совместный с жителями дома.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384 466</w:t>
            </w:r>
            <w:r>
              <w:rPr>
                <w:b/>
                <w:sz w:val="22"/>
                <w:szCs w:val="22"/>
                <w:highlight w:val="yellow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38 446,6</w:t>
            </w:r>
            <w:r>
              <w:rPr>
                <w:b/>
                <w:sz w:val="22"/>
                <w:szCs w:val="22"/>
                <w:highlight w:val="yellow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19 223,3</w:t>
            </w:r>
            <w:r>
              <w:rPr>
                <w:b/>
                <w:sz w:val="22"/>
                <w:szCs w:val="22"/>
                <w:highlight w:val="yellow"/>
              </w:rPr>
            </w:r>
          </w:p>
        </w:tc>
      </w:tr>
      <w:tr>
        <w:tblPrEx/>
        <w:trPr>
          <w:jc w:val="center"/>
          <w:trHeight w:val="1266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Нежилое помещение 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(подвал № 1) 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Нижегородская область,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г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Нижний Новгород, р-н Ленинский,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пр-кт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Ленина,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д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58А,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пом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П8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52:18:0050248:770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18,2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1957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Нежилое помещение расположено в подвале пятиэтажного жилого дома. Вход совместный с пользователями других нежилых помещений. Через помещение П8 осуществляется доступ в помещения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пом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П5 и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пом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П28.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>
              <w:rPr>
                <w:b/>
                <w:color w:val="000000"/>
                <w:sz w:val="22"/>
                <w:szCs w:val="22"/>
                <w:lang w:bidi="ru-RU"/>
              </w:rPr>
              <w:t xml:space="preserve">2 163 286</w:t>
            </w:r>
            <w:r>
              <w:rPr>
                <w:b/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>
              <w:rPr>
                <w:b/>
                <w:color w:val="000000"/>
                <w:sz w:val="22"/>
                <w:szCs w:val="22"/>
                <w:lang w:bidi="ru-RU"/>
              </w:rPr>
              <w:t xml:space="preserve">216 328,6</w:t>
            </w:r>
            <w:r>
              <w:rPr>
                <w:b/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>
              <w:rPr>
                <w:b/>
                <w:color w:val="000000"/>
                <w:sz w:val="22"/>
                <w:szCs w:val="22"/>
                <w:lang w:bidi="ru-RU"/>
              </w:rPr>
              <w:t xml:space="preserve">108 164,3</w:t>
            </w:r>
            <w:r>
              <w:rPr>
                <w:b/>
                <w:color w:val="000000"/>
                <w:sz w:val="22"/>
                <w:szCs w:val="22"/>
                <w:lang w:bidi="ru-RU"/>
              </w:rPr>
            </w:r>
          </w:p>
        </w:tc>
      </w:tr>
      <w:tr>
        <w:tblPrEx/>
        <w:trPr>
          <w:jc w:val="center"/>
          <w:trHeight w:val="1266"/>
        </w:trPr>
        <w:tc>
          <w:tcPr>
            <w:shd w:val="clear" w:color="ffffff" w:fill="ffffff"/>
            <w:tcW w:w="66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Нежилое помещение 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(подвал № 1) 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Нижегородская область,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г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Нижний Новгород, р-н Ленинский,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пр-кт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Ленина,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д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58А,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пом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П5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52:18:0050248:126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27,9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1957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Нежилое помещение расположено в подвале пятиэтажного жилого дома. 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Вход совместный с пользователями других нежилых помещений. Доступ в помещение осуществляется через смежное помещение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пом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П8.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</w:tr>
      <w:tr>
        <w:tblPrEx/>
        <w:trPr>
          <w:jc w:val="center"/>
          <w:trHeight w:val="815"/>
        </w:trPr>
        <w:tc>
          <w:tcPr>
            <w:shd w:val="clear" w:color="ffffff" w:fill="ffffff"/>
            <w:tcW w:w="66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Нежилое помещение 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(подвал № 1)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Нижегородская область,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г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Нижний Новгород, р-н Ленинский,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пр-кт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Ленина,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д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58А,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пом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П28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52:18:0050248:774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8,4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1957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Нежилое помещение расположено в подвале пятиэтажного жилого дома. 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Вход совместный с пользователями других нежилых помещений. Доступ в помещение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осуществляется через смежное помещение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пом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П8.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</w:tr>
      <w:tr>
        <w:tblPrEx/>
        <w:trPr>
          <w:jc w:val="center"/>
          <w:trHeight w:val="1266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Нежилое помещение</w:t>
            </w:r>
            <w:r>
              <w:rPr>
                <w:color w:val="000000"/>
                <w:lang w:bidi="ru-RU"/>
              </w:rPr>
            </w:r>
          </w:p>
          <w:p>
            <w:pPr>
              <w:ind w:left="57" w:right="57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(подвал №1)</w:t>
            </w:r>
            <w:r>
              <w:rPr>
                <w:color w:val="000000"/>
                <w:lang w:bidi="ru-RU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Нижегородская область, г Нижний Новгород, р-н Автозаводский,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пр-кт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Ильича,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д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34,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пом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П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2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52:18:0040267:161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146,8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1941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Нежилое помещение расположено в подвале пятиэтажного жилого дома. Имеются один совместный и один отдельный входы.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>
              <w:rPr>
                <w:b/>
                <w:color w:val="000000"/>
                <w:sz w:val="22"/>
                <w:szCs w:val="22"/>
                <w:lang w:bidi="ru-RU"/>
              </w:rPr>
              <w:t xml:space="preserve">3 287 260</w:t>
            </w:r>
            <w:r>
              <w:rPr>
                <w:b/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>
              <w:rPr>
                <w:b/>
                <w:color w:val="000000"/>
                <w:sz w:val="22"/>
                <w:szCs w:val="22"/>
                <w:lang w:bidi="ru-RU"/>
              </w:rPr>
              <w:t xml:space="preserve">328 726</w:t>
            </w:r>
            <w:r>
              <w:rPr>
                <w:b/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>
              <w:rPr>
                <w:b/>
                <w:color w:val="000000"/>
                <w:sz w:val="22"/>
                <w:szCs w:val="22"/>
                <w:lang w:bidi="ru-RU"/>
              </w:rPr>
              <w:t xml:space="preserve">164 363</w:t>
            </w:r>
            <w:r>
              <w:rPr>
                <w:b/>
                <w:color w:val="000000"/>
                <w:sz w:val="22"/>
                <w:szCs w:val="22"/>
                <w:lang w:bidi="ru-RU"/>
              </w:rPr>
            </w:r>
          </w:p>
        </w:tc>
      </w:tr>
      <w:tr>
        <w:tblPrEx/>
        <w:trPr>
          <w:jc w:val="center"/>
          <w:trHeight w:val="1266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Нежилое встроенное помещение</w:t>
            </w:r>
            <w:r>
              <w:rPr>
                <w:color w:val="000000"/>
                <w:lang w:bidi="ru-RU"/>
              </w:rPr>
            </w:r>
          </w:p>
          <w:p>
            <w:pPr>
              <w:ind w:left="57" w:right="57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(подвал №1)</w:t>
            </w:r>
            <w:r>
              <w:rPr>
                <w:color w:val="000000"/>
                <w:lang w:bidi="ru-RU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Нижегородская область, г Нижний Новгород, р-н Автозаводский,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пр-кт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Ильича,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д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34,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пом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П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7</w:t>
            </w:r>
            <w:r>
              <w:rPr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52:18:0040267:163</w:t>
            </w:r>
            <w:r>
              <w:rPr>
                <w:color w:val="000000"/>
                <w:lang w:bidi="ru-RU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150,2</w:t>
            </w:r>
            <w:r>
              <w:rPr>
                <w:color w:val="000000"/>
                <w:lang w:bidi="ru-RU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1941</w:t>
            </w:r>
            <w:r>
              <w:rPr>
                <w:color w:val="000000"/>
                <w:lang w:bidi="ru-RU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Нежилое помещение расположено в подвале пятиэтажного жилого дома. Вход отдельный.</w:t>
            </w:r>
            <w:r>
              <w:rPr>
                <w:color w:val="000000"/>
                <w:lang w:bidi="ru-RU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>
              <w:rPr>
                <w:b/>
                <w:color w:val="000000"/>
                <w:sz w:val="22"/>
                <w:szCs w:val="22"/>
                <w:lang w:bidi="ru-RU"/>
              </w:rPr>
              <w:t xml:space="preserve">3 351 097</w:t>
            </w:r>
            <w:r>
              <w:rPr>
                <w:b/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>
              <w:rPr>
                <w:b/>
                <w:color w:val="000000"/>
                <w:sz w:val="22"/>
                <w:szCs w:val="22"/>
                <w:lang w:bidi="ru-RU"/>
              </w:rPr>
              <w:t xml:space="preserve">335 109,7</w:t>
            </w:r>
            <w:r>
              <w:rPr>
                <w:b/>
                <w:color w:val="000000"/>
                <w:sz w:val="22"/>
                <w:szCs w:val="22"/>
                <w:lang w:bidi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>
              <w:rPr>
                <w:b/>
                <w:color w:val="000000"/>
                <w:sz w:val="22"/>
                <w:szCs w:val="22"/>
                <w:lang w:bidi="ru-RU"/>
              </w:rPr>
              <w:t xml:space="preserve">167 554,85</w:t>
            </w:r>
            <w:r>
              <w:rPr>
                <w:b/>
                <w:color w:val="000000"/>
                <w:sz w:val="22"/>
                <w:szCs w:val="22"/>
                <w:lang w:bidi="ru-RU"/>
              </w:rPr>
            </w:r>
          </w:p>
        </w:tc>
      </w:tr>
    </w:tbl>
    <w:p>
      <w:pPr>
        <w:jc w:val="both"/>
        <w:tabs>
          <w:tab w:val="num" w:pos="0" w:leader="none"/>
        </w:tabs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</w:r>
      <w:r>
        <w:rPr>
          <w:b/>
          <w:sz w:val="26"/>
          <w:szCs w:val="26"/>
          <w:highlight w:val="yellow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Примечание: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лотам №№ 2-4:</w:t>
      </w:r>
      <w:r>
        <w:rPr>
          <w:b/>
          <w:sz w:val="26"/>
          <w:szCs w:val="26"/>
        </w:rPr>
        <w:t xml:space="preserve"> 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r>
        <w:rPr>
          <w:b/>
          <w:sz w:val="26"/>
          <w:szCs w:val="26"/>
        </w:rPr>
        <w:t xml:space="preserve">общедомовых</w:t>
      </w:r>
      <w:r>
        <w:rPr>
          <w:b/>
          <w:sz w:val="26"/>
          <w:szCs w:val="26"/>
        </w:rPr>
        <w:t xml:space="preserve"> инженерных коммуникаций, а также для ликвидации аварий.</w:t>
      </w:r>
      <w:r>
        <w:rPr>
          <w:b/>
          <w:bCs/>
          <w:sz w:val="26"/>
          <w:szCs w:val="26"/>
        </w:rPr>
      </w:r>
    </w:p>
    <w:p>
      <w:pPr>
        <w:jc w:val="both"/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</w:r>
      <w:r>
        <w:rPr>
          <w:b/>
          <w:sz w:val="26"/>
          <w:szCs w:val="26"/>
          <w:highlight w:val="yellow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№№ 1-2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604.</w:t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№№ 3-4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604.</w:t>
      </w:r>
      <w:r>
        <w:rPr>
          <w:sz w:val="26"/>
          <w:szCs w:val="26"/>
        </w:rPr>
      </w:r>
    </w:p>
    <w:p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Продажи посре</w:t>
      </w:r>
      <w:r>
        <w:rPr>
          <w:sz w:val="26"/>
          <w:szCs w:val="26"/>
        </w:rPr>
        <w:t xml:space="preserve">дством публичного предложения</w:t>
      </w:r>
      <w:r>
        <w:rPr>
          <w:sz w:val="26"/>
          <w:szCs w:val="26"/>
        </w:rPr>
        <w:t xml:space="preserve"> от 03.03.2025 № 5403233, от 09.04.2025 № 5414897 не состоялись в связи с тем,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продажи.</w:t>
      </w:r>
      <w:r>
        <w:rPr>
          <w:color w:val="000000"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</w:tabs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Начало приема заявок</w:t>
      </w:r>
      <w:r>
        <w:rPr>
          <w:rFonts w:eastAsia="Calibri"/>
          <w:sz w:val="26"/>
          <w:szCs w:val="26"/>
        </w:rPr>
        <w:t xml:space="preserve"> на участие в аукционе – 13.02.2026 в 15:00.</w:t>
      </w:r>
      <w:r>
        <w:rPr>
          <w:rFonts w:eastAsia="Calibri"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Окончание приема заявок</w:t>
      </w:r>
      <w:r>
        <w:rPr>
          <w:rFonts w:eastAsia="Calibri"/>
          <w:sz w:val="26"/>
          <w:szCs w:val="26"/>
        </w:rPr>
        <w:t xml:space="preserve"> на участие в аукционе – 11.03.2026 в 15:00.</w:t>
      </w:r>
      <w:r>
        <w:rPr>
          <w:rFonts w:eastAsia="Calibri"/>
          <w:sz w:val="26"/>
          <w:szCs w:val="26"/>
        </w:rPr>
      </w:r>
    </w:p>
    <w:p>
      <w:pPr>
        <w:pStyle w:val="905"/>
        <w:ind w:firstLine="0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 11</w:t>
      </w:r>
      <w:r>
        <w:rPr>
          <w:sz w:val="26"/>
          <w:szCs w:val="26"/>
        </w:rPr>
        <w:t xml:space="preserve">.03.2026</w:t>
      </w:r>
      <w:r>
        <w:rPr>
          <w:rFonts w:eastAsia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до 15:00.</w:t>
      </w:r>
      <w:r>
        <w:rPr>
          <w:bCs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Определение участников аукциона</w:t>
      </w:r>
      <w:r>
        <w:rPr>
          <w:rFonts w:eastAsia="Calibri"/>
          <w:sz w:val="26"/>
          <w:szCs w:val="26"/>
        </w:rPr>
        <w:t xml:space="preserve"> – 17.03.2026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до 23:59.</w:t>
      </w:r>
      <w:r>
        <w:rPr>
          <w:rFonts w:eastAsia="Calibri"/>
          <w:sz w:val="26"/>
          <w:szCs w:val="26"/>
        </w:rPr>
      </w:r>
    </w:p>
    <w:p>
      <w:pPr>
        <w:jc w:val="both"/>
        <w:rPr>
          <w:rFonts w:eastAsia="Calibri"/>
          <w:b/>
          <w:sz w:val="30"/>
          <w:szCs w:val="30"/>
          <w:u w:val="single"/>
        </w:rPr>
      </w:pPr>
      <w:r>
        <w:rPr>
          <w:rFonts w:eastAsia="Calibri"/>
          <w:b/>
          <w:sz w:val="26"/>
          <w:szCs w:val="26"/>
        </w:rPr>
        <w:t xml:space="preserve">Проведение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>
        <w:rPr>
          <w:b/>
          <w:sz w:val="26"/>
          <w:szCs w:val="26"/>
        </w:rPr>
        <w:t xml:space="preserve">) –</w:t>
      </w:r>
      <w:r>
        <w:rPr>
          <w:b/>
          <w:sz w:val="26"/>
          <w:szCs w:val="26"/>
          <w:u w:val="single"/>
        </w:rPr>
        <w:t xml:space="preserve"> 18.03.2026 в 09:30.</w:t>
      </w:r>
      <w:r>
        <w:rPr>
          <w:rFonts w:eastAsia="Calibri"/>
          <w:b/>
          <w:sz w:val="30"/>
          <w:szCs w:val="30"/>
          <w:u w:val="single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  <w:t xml:space="preserve">Подведение итогов аукциона:</w:t>
      </w:r>
      <w:r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  <w:r>
        <w:rPr>
          <w:rFonts w:eastAsia="Calibri"/>
          <w:sz w:val="26"/>
          <w:szCs w:val="26"/>
          <w:lang w:val="ru-RU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вопро</w:t>
      </w:r>
      <w:r>
        <w:rPr>
          <w:b/>
          <w:sz w:val="26"/>
          <w:szCs w:val="26"/>
        </w:rPr>
        <w:t xml:space="preserve">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муниципальных объектов недвижимого имущества города Нижнего Новгорода» по телефонам: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Автозаводский район, Ленинский район: 251-47-57;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r>
        <w:rPr>
          <w:b/>
          <w:sz w:val="26"/>
          <w:szCs w:val="26"/>
        </w:rPr>
        <w:t xml:space="preserve">Приокский</w:t>
      </w:r>
      <w:r>
        <w:rPr>
          <w:b/>
          <w:sz w:val="26"/>
          <w:szCs w:val="26"/>
        </w:rPr>
        <w:t xml:space="preserve"> район: 430-00-57;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Сормовский</w:t>
      </w:r>
      <w:r>
        <w:rPr>
          <w:b/>
          <w:sz w:val="26"/>
          <w:szCs w:val="26"/>
        </w:rPr>
        <w:t xml:space="preserve"> район, Канавинский район, Московский район: 222-22-65;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Кстовский</w:t>
      </w:r>
      <w:r>
        <w:rPr>
          <w:b/>
          <w:sz w:val="26"/>
          <w:szCs w:val="26"/>
        </w:rPr>
        <w:t xml:space="preserve"> район: 453-92-50 (доб.324).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435-69-24.</w:t>
      </w:r>
      <w:r>
        <w:rPr>
          <w:b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Наличие э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Информационное сообщение о проведен</w:t>
      </w:r>
      <w:r>
        <w:rPr>
          <w:rFonts w:eastAsia="Calibri"/>
          <w:color w:val="000000"/>
          <w:sz w:val="26"/>
          <w:szCs w:val="26"/>
        </w:rPr>
        <w:t xml:space="preserve">ии ау</w:t>
      </w:r>
      <w:r>
        <w:rPr>
          <w:rFonts w:eastAsia="Calibri"/>
          <w:color w:val="000000"/>
          <w:sz w:val="26"/>
          <w:szCs w:val="26"/>
        </w:rPr>
        <w:t xml:space="preserve">кциона по продаже имущества и условиях его проведения явля</w:t>
      </w:r>
      <w:r>
        <w:rPr>
          <w:rFonts w:eastAsia="Calibri"/>
          <w:color w:val="000000"/>
          <w:sz w:val="26"/>
          <w:szCs w:val="26"/>
        </w:rPr>
        <w:t xml:space="preserve">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  <w:r>
        <w:rPr>
          <w:rFonts w:eastAsia="Calibri"/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color w:val="000000"/>
        </w:rPr>
        <w:t xml:space="preserve">Задаток</w:t>
      </w:r>
      <w:r>
        <w:rPr>
          <w:b w:val="0"/>
          <w:color w:val="000000"/>
        </w:rPr>
        <w:t xml:space="preserve"> для участия в аукционе служит обеспечением исполнения обязательства победителя аукциона, </w:t>
      </w:r>
      <w:r>
        <w:rPr>
          <w:b w:val="0"/>
        </w:rPr>
        <w:t xml:space="preserve">либо лица, признанного единственным участником аукциона,</w:t>
      </w:r>
      <w:r>
        <w:rPr>
          <w:b w:val="0"/>
          <w:color w:val="000000"/>
        </w:rPr>
        <w:t xml:space="preserve">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  <w:r>
        <w:rPr>
          <w:b w:val="0"/>
          <w:color w:val="000000"/>
        </w:rPr>
      </w:r>
    </w:p>
    <w:p>
      <w:pPr>
        <w:pStyle w:val="924"/>
        <w:ind w:firstLine="426"/>
        <w:jc w:val="both"/>
        <w:spacing w:before="0"/>
        <w:tabs>
          <w:tab w:val="left" w:pos="284" w:leader="none"/>
        </w:tabs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>
        <w:rPr>
          <w:b w:val="0"/>
          <w:color w:val="000000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Лицам, перечислившим задаток для участия в аукционе, денежные средства возвращаются в следующем порядке: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а) участникам, за исключением победителя либо лица, признанного единственным участником аукциона,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б) претендентам</w:t>
      </w:r>
      <w:r>
        <w:rPr>
          <w:color w:val="000000"/>
          <w:sz w:val="26"/>
          <w:szCs w:val="26"/>
        </w:rPr>
        <w:t xml:space="preserve"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 xml:space="preserve">- в течение 5 календарных дней со дня подписания протокола о признании претендентов участниками.</w:t>
      </w:r>
      <w:r>
        <w:rPr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Задаток победителя аукциона либо лица, признан</w:t>
      </w:r>
      <w:r>
        <w:rPr>
          <w:b w:val="0"/>
          <w:color w:val="000000"/>
        </w:rPr>
        <w:t xml:space="preserve">ного единственным участником аукциона,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  <w:r>
        <w:rPr>
          <w:b w:val="0"/>
          <w:color w:val="000000"/>
        </w:rPr>
      </w:r>
    </w:p>
    <w:p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Задаток не возвращается при уклонении или отказе победителя аукциона либо лица, признанного </w:t>
      </w:r>
      <w:r>
        <w:rPr>
          <w:b/>
          <w:bCs/>
          <w:color w:val="000000"/>
          <w:sz w:val="26"/>
          <w:szCs w:val="26"/>
        </w:rPr>
        <w:t xml:space="preserve">единственным участником аукциона</w:t>
      </w:r>
      <w:r>
        <w:rPr>
          <w:b/>
          <w:color w:val="000000"/>
          <w:sz w:val="26"/>
          <w:szCs w:val="26"/>
        </w:rPr>
        <w:t xml:space="preserve">:</w:t>
      </w:r>
      <w:r>
        <w:rPr>
          <w:b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заключения в течение пяти рабочих дней со дня подведения итогов аукциона договора купли-продажи (результаты аукциона аннулируются Продавцом), при этом он утрачивает право на заключение указанного договора;</w:t>
      </w:r>
      <w:r>
        <w:rPr>
          <w:color w:val="000000"/>
          <w:sz w:val="26"/>
          <w:szCs w:val="26"/>
        </w:rPr>
      </w:r>
    </w:p>
    <w:p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обязательств по оплате по договору купли-продажи.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8"/>
          <w:szCs w:val="26"/>
        </w:rPr>
        <w:t xml:space="preserve"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>
        <w:rPr>
          <w:rFonts w:eastAsia="Calibri"/>
          <w:b/>
          <w:color w:val="000000"/>
          <w:sz w:val="28"/>
          <w:szCs w:val="26"/>
        </w:rPr>
        <w:t xml:space="preserve"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 аукциона либо лиц</w:t>
      </w:r>
      <w:r>
        <w:rPr>
          <w:rFonts w:eastAsia="Calibri"/>
          <w:color w:val="000000"/>
          <w:sz w:val="26"/>
          <w:szCs w:val="26"/>
        </w:rPr>
        <w:t xml:space="preserve">а, признанного единственным участником аукциона,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</w:t>
      </w:r>
      <w:r>
        <w:rPr>
          <w:rFonts w:eastAsia="Calibri"/>
          <w:color w:val="000000"/>
          <w:sz w:val="26"/>
          <w:szCs w:val="26"/>
        </w:rPr>
        <w:t xml:space="preserve">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Оплата имущества, приобретаемого на аукционе, производится победителем аукциона либо лицом, признанным единственным участником аукциона, путем перечисления денежных средств по следующим реквизитам: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r>
        <w:rPr>
          <w:b/>
          <w:sz w:val="26"/>
          <w:szCs w:val="26"/>
        </w:rPr>
        <w:t xml:space="preserve">л</w:t>
      </w:r>
      <w:r>
        <w:rPr>
          <w:b/>
          <w:sz w:val="26"/>
          <w:szCs w:val="26"/>
        </w:rPr>
        <w:t xml:space="preserve">/с 04323024880), ИНН 5253000265, БИК 012202102, КПП 526001001, ОКТМО 22701000, </w:t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Код бюджетной классификации: 36611413040041000410.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Реквизиты для перечисления налога на добавленную стоимость (в случае, если победитель аукциона либо лицо, признанное единственным участником аукциона, является физическим лицом, не зарегистрированным в качестве индивидуального предпринимателя):</w:t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казначейский счет: 03232643227010003200, единый казначейский счет: 40102810745370000024. 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r>
        <w:rPr>
          <w:b/>
          <w:sz w:val="26"/>
          <w:szCs w:val="26"/>
        </w:rPr>
        <w:t xml:space="preserve">от</w:t>
      </w:r>
      <w:r>
        <w:rPr>
          <w:b/>
          <w:sz w:val="26"/>
          <w:szCs w:val="26"/>
        </w:rPr>
        <w:t xml:space="preserve"> __________ № _____».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</w:t>
      </w:r>
      <w:r>
        <w:rPr>
          <w:rFonts w:eastAsia="Calibri"/>
          <w:color w:val="000000"/>
          <w:sz w:val="26"/>
          <w:szCs w:val="26"/>
        </w:rPr>
        <w:t xml:space="preserve">оплачивают НДС </w:t>
      </w:r>
      <w:r>
        <w:rPr>
          <w:sz w:val="26"/>
          <w:szCs w:val="26"/>
          <w:lang w:bidi="ru-RU"/>
        </w:rPr>
        <w:t xml:space="preserve">на соответствующий счет</w:t>
      </w:r>
      <w:r>
        <w:rPr>
          <w:sz w:val="26"/>
          <w:szCs w:val="26"/>
          <w:lang w:bidi="ru-RU"/>
        </w:rPr>
        <w:t xml:space="preserve"> отделения Федерального казначейства, предназначенный для зачисления НДС</w:t>
      </w:r>
      <w:r>
        <w:rPr>
          <w:rFonts w:eastAsia="Calibri"/>
          <w:color w:val="000000"/>
          <w:sz w:val="26"/>
          <w:szCs w:val="26"/>
        </w:rPr>
        <w:t xml:space="preserve">.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аукциона либо лицом, признанным единственным участником аукциона, в течение 5 (пяти) рабочих дней со дня подведения итогов аукциона. 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 xml:space="preserve"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в информационном сообщении,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задатки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Исчерпывающий перечень представляемых участниками продажи документов, требования к их оформлению: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(приложение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>
        <w:rPr>
          <w:lang w:val="ru-RU"/>
        </w:rPr>
        <w:t xml:space="preserve"> </w:t>
      </w:r>
      <w:r>
        <w:rPr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Для участия в аукционе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представляются документы: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Юридические лица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на участие в продаже, заполненная в форме электронного документа (Приложение № 1);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заверенные копии учредительных документов;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 содержащий сведения о доле Российской Фе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документ, который подтверждает полномочия руководителя юрид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Физические лица, в том числе индивидуальные предприниматели: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заявка на участие в продаже, заполненная в форме электронного документа (Приложение № 1);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копии всех листов документа, удостоверяющего личность (в случае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представления копии паспорта гражданина Российской Федерации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твующим законодательством 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Документы (копии документов), входящие в состав заявки, должны иметь четко читаемый текст.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Требования к документам: указанные документы в части их оформ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Заявка и иные представленные одновременно с ней документы подаются в форме электронных документов.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начала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приеме заявок от Претендентов Организатор обеспечивает конфиденциальность данных о Претендентах и участниках.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r>
        <w:rPr>
          <w:sz w:val="26"/>
          <w:szCs w:val="26"/>
        </w:rPr>
        <w:t xml:space="preserve">уведомления</w:t>
      </w:r>
      <w:r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  <w:r>
        <w:rPr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ознакомления участников торгов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12" w:tooltip="http://www.torgi.gov.ru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 xml:space="preserve"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нижнийновгород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.р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ф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от регистрации на электронной площадке с даты размещения информационного сообщения на официальном сайте торгов до даты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284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регистрации на электронной площадке.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осуществляется без взимания платы.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>
        <w:rPr>
          <w:b w:val="0"/>
          <w:color w:val="000000"/>
          <w:sz w:val="26"/>
          <w:szCs w:val="26"/>
        </w:rPr>
        <w:t xml:space="preserve">https</w:t>
      </w:r>
      <w:r>
        <w:rPr>
          <w:b w:val="0"/>
          <w:color w:val="000000"/>
          <w:sz w:val="26"/>
          <w:szCs w:val="26"/>
          <w:lang w:val="ru-RU"/>
        </w:rPr>
        <w:t xml:space="preserve">://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Претендент не допускается к участию в аукционе по следующим основаниям: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соответствии с перечнем, указанным в информационном сообщении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или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оформление представленных документов не соответствует законодательству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Заявка подана лицом, не уполномоченным Претендентом на осуществление таких действий.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Перечень указанных оснований отказа Претенденту в участии в аукционе является исчерпывающим.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и срок отзыва заявок, порядок внесения изменений в заявку.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заявок отозвать заявку путем направления 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при этом первоначальная заявка должна быть отозвана.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Продавец вправе: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позднее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публикации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5"/>
        <w:ind w:firstLine="567"/>
        <w:jc w:val="both"/>
        <w:tabs>
          <w:tab w:val="left" w:pos="0" w:leader="none"/>
        </w:tabs>
        <w:rPr>
          <w:rFonts w:ascii="Times New Roman" w:hAnsi="Times New Roman" w:eastAsia="Calibri"/>
          <w:bCs/>
          <w:color w:val="000000"/>
          <w:sz w:val="26"/>
          <w:szCs w:val="26"/>
        </w:rPr>
      </w:pP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с даты размещения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Правила проведения продажи в электронной форме: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Рассмотрение заявок.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участия в аукционе Претенденты перечисляют задаток в размере 10 процентов начальной цены продажи имущества в счет обеспечения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котором приводится перечень принятых заявок (с указанием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приобретает статус участника аукциона с момента подписания протокола о признании Претендентов участниками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 xml:space="preserve">В случае</w:t>
      </w:r>
      <w:r>
        <w:rPr>
          <w:rFonts w:eastAsiaTheme="minorHAnsi"/>
          <w:bCs/>
          <w:sz w:val="26"/>
          <w:szCs w:val="26"/>
          <w:lang w:val="ru-RU"/>
        </w:rPr>
        <w:t xml:space="preserve">,</w:t>
      </w:r>
      <w:r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  <w:r>
        <w:rPr>
          <w:rFonts w:eastAsiaTheme="minorHAnsi"/>
          <w:bCs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проведения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Со времени начала проведения процедуры аукциона Организатором размещается: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закрытой части электронной п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программными средствами электронной площадки обеспечивается: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Аукцион признается несостоявшимся в следующих случаях: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было подано ни одной заявки на участие либо ни один из Претендентов не признан участником;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ни один из участников не сделал предложение о начальной цене имущества;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</w:t>
      </w:r>
      <w:r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Решение о признан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 несостоявшимся оформляется протоколом об итогах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Уведомление о признании участника аукциона победителем либо лицом, признанным единственным участником аукциона, направляется победителю либо лицу, признанному единственным участником аукциона, в день подведения итогов аукциона.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</w:t>
      </w:r>
      <w:r>
        <w:rPr>
          <w:b/>
          <w:bCs/>
          <w:color w:val="000000"/>
          <w:sz w:val="26"/>
          <w:szCs w:val="26"/>
        </w:rPr>
        <w:t xml:space="preserve">возвращается</w:t>
      </w:r>
      <w:r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  <w:r>
        <w:rPr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открытой части электронной площадки размещается следующая информация: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наименование имущества и иные позволяющие его индивидуализировать сведения;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цена сделки;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sectPr>
      <w:headerReference w:type="default" r:id="rId9"/>
      <w:footnotePr/>
      <w:endnotePr/>
      <w:type w:val="nextPage"/>
      <w:pgSz w:w="16840" w:h="11907" w:orient="landscape"/>
      <w:pgMar w:top="709" w:right="538" w:bottom="284" w:left="709" w:header="28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Helvetica">
    <w:panose1 w:val="020B0604020202020204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fldSimple w:instr="PAGE \* MERGEFORMAT">
      <w:r>
        <w:t xml:space="preserve">1</w:t>
      </w:r>
    </w:fldSimple>
    <w:r/>
    <w:r/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ascii="Calibri" w:hAnsi="Calibri" w:cs="Helvetica"/>
        <w:color w:val="auto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708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0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56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7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multiLevelType w:val="hybridMultilevel"/>
    <w:lvl w:ilvl="0">
      <w:start w:val="33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  <w:tabs>
          <w:tab w:val="num" w:pos="13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0">
    <w:multiLevelType w:val="hybridMultilevel"/>
    <w:lvl w:ilvl="0">
      <w:start w:val="6"/>
      <w:numFmt w:val="decimalZero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33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2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6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5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1"/>
  </w:num>
  <w:num w:numId="2">
    <w:abstractNumId w:val="22"/>
  </w:num>
  <w:num w:numId="3">
    <w:abstractNumId w:val="15"/>
  </w:num>
  <w:num w:numId="4">
    <w:abstractNumId w:val="20"/>
  </w:num>
  <w:num w:numId="5">
    <w:abstractNumId w:val="19"/>
  </w:num>
  <w:num w:numId="6">
    <w:abstractNumId w:val="21"/>
  </w:num>
  <w:num w:numId="7">
    <w:abstractNumId w:val="23"/>
  </w:num>
  <w:num w:numId="8">
    <w:abstractNumId w:val="25"/>
  </w:num>
  <w:num w:numId="9">
    <w:abstractNumId w:val="5"/>
  </w:num>
  <w:num w:numId="10">
    <w:abstractNumId w:val="1"/>
  </w:num>
  <w:num w:numId="11">
    <w:abstractNumId w:val="17"/>
  </w:num>
  <w:num w:numId="12">
    <w:abstractNumId w:val="8"/>
  </w:num>
  <w:num w:numId="13">
    <w:abstractNumId w:val="12"/>
  </w:num>
  <w:num w:numId="14">
    <w:abstractNumId w:val="24"/>
  </w:num>
  <w:num w:numId="15">
    <w:abstractNumId w:val="3"/>
  </w:num>
  <w:num w:numId="16">
    <w:abstractNumId w:val="16"/>
  </w:num>
  <w:num w:numId="17">
    <w:abstractNumId w:val="14"/>
  </w:num>
  <w:num w:numId="18">
    <w:abstractNumId w:val="18"/>
  </w:num>
  <w:num w:numId="19">
    <w:abstractNumId w:val="13"/>
  </w:num>
  <w:num w:numId="20">
    <w:abstractNumId w:val="2"/>
  </w:num>
  <w:num w:numId="21">
    <w:abstractNumId w:val="0"/>
  </w:num>
  <w:num w:numId="22">
    <w:abstractNumId w:val="6"/>
  </w:num>
  <w:num w:numId="23">
    <w:abstractNumId w:val="9"/>
  </w:num>
  <w:num w:numId="24">
    <w:abstractNumId w:val="4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Title Char"/>
    <w:basedOn w:val="723"/>
    <w:link w:val="908"/>
    <w:uiPriority w:val="10"/>
    <w:rPr>
      <w:sz w:val="48"/>
      <w:szCs w:val="48"/>
    </w:rPr>
  </w:style>
  <w:style w:type="character" w:styleId="727" w:customStyle="1">
    <w:name w:val="Quote Char"/>
    <w:link w:val="746"/>
    <w:uiPriority w:val="29"/>
    <w:rPr>
      <w:i/>
    </w:rPr>
  </w:style>
  <w:style w:type="character" w:styleId="728" w:customStyle="1">
    <w:name w:val="Intense Quote Char"/>
    <w:link w:val="748"/>
    <w:uiPriority w:val="30"/>
    <w:rPr>
      <w:i/>
    </w:rPr>
  </w:style>
  <w:style w:type="character" w:styleId="729" w:customStyle="1">
    <w:name w:val="Footnote Text Char"/>
    <w:link w:val="880"/>
    <w:uiPriority w:val="99"/>
    <w:rPr>
      <w:sz w:val="18"/>
    </w:rPr>
  </w:style>
  <w:style w:type="character" w:styleId="730" w:customStyle="1">
    <w:name w:val="Endnote Text Char"/>
    <w:link w:val="883"/>
    <w:uiPriority w:val="99"/>
    <w:rPr>
      <w:sz w:val="20"/>
    </w:rPr>
  </w:style>
  <w:style w:type="character" w:styleId="731" w:customStyle="1">
    <w:name w:val="Heading 1 Char"/>
    <w:basedOn w:val="723"/>
    <w:link w:val="897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3"/>
    <w:link w:val="898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3"/>
    <w:link w:val="899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3"/>
    <w:link w:val="900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3"/>
    <w:link w:val="901"/>
    <w:uiPriority w:val="9"/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Heading 6"/>
    <w:basedOn w:val="722"/>
    <w:next w:val="722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6 Char"/>
    <w:basedOn w:val="723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Heading 7"/>
    <w:basedOn w:val="722"/>
    <w:next w:val="722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723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Heading 8"/>
    <w:basedOn w:val="722"/>
    <w:next w:val="722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8 Char"/>
    <w:basedOn w:val="723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Heading 9"/>
    <w:basedOn w:val="722"/>
    <w:next w:val="722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72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Название Знак"/>
    <w:basedOn w:val="723"/>
    <w:link w:val="908"/>
    <w:uiPriority w:val="10"/>
    <w:rPr>
      <w:sz w:val="48"/>
      <w:szCs w:val="48"/>
    </w:rPr>
  </w:style>
  <w:style w:type="character" w:styleId="745" w:customStyle="1">
    <w:name w:val="Subtitle Char"/>
    <w:basedOn w:val="723"/>
    <w:link w:val="911"/>
    <w:uiPriority w:val="11"/>
    <w:rPr>
      <w:sz w:val="24"/>
      <w:szCs w:val="24"/>
    </w:rPr>
  </w:style>
  <w:style w:type="paragraph" w:styleId="746">
    <w:name w:val="Quote"/>
    <w:basedOn w:val="722"/>
    <w:next w:val="722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22"/>
    <w:next w:val="722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23"/>
    <w:link w:val="918"/>
    <w:uiPriority w:val="99"/>
  </w:style>
  <w:style w:type="character" w:styleId="751" w:customStyle="1">
    <w:name w:val="Footer Char"/>
    <w:basedOn w:val="723"/>
    <w:link w:val="920"/>
    <w:uiPriority w:val="99"/>
  </w:style>
  <w:style w:type="paragraph" w:styleId="752" w:customStyle="1">
    <w:name w:val="Caption"/>
    <w:basedOn w:val="722"/>
    <w:next w:val="722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basedOn w:val="723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72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basedOn w:val="72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basedOn w:val="72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basedOn w:val="72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1 Light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basedOn w:val="72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basedOn w:val="72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basedOn w:val="72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basedOn w:val="72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basedOn w:val="72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basedOn w:val="72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0">
    <w:name w:val="footnote text"/>
    <w:basedOn w:val="722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23"/>
    <w:uiPriority w:val="99"/>
    <w:unhideWhenUsed/>
    <w:rPr>
      <w:vertAlign w:val="superscript"/>
    </w:rPr>
  </w:style>
  <w:style w:type="paragraph" w:styleId="883">
    <w:name w:val="endnote text"/>
    <w:basedOn w:val="722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23"/>
    <w:uiPriority w:val="99"/>
    <w:semiHidden/>
    <w:unhideWhenUsed/>
    <w:rPr>
      <w:vertAlign w:val="superscript"/>
    </w:rPr>
  </w:style>
  <w:style w:type="paragraph" w:styleId="886">
    <w:name w:val="toc 1"/>
    <w:basedOn w:val="722"/>
    <w:next w:val="722"/>
    <w:uiPriority w:val="39"/>
    <w:unhideWhenUsed/>
    <w:pPr>
      <w:spacing w:after="57"/>
    </w:pPr>
  </w:style>
  <w:style w:type="paragraph" w:styleId="887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88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89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0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1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2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3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94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2"/>
    <w:next w:val="722"/>
    <w:uiPriority w:val="99"/>
    <w:unhideWhenUsed/>
  </w:style>
  <w:style w:type="paragraph" w:styleId="897" w:customStyle="1">
    <w:name w:val="Heading 1"/>
    <w:basedOn w:val="722"/>
    <w:next w:val="722"/>
    <w:link w:val="731"/>
    <w:qFormat/>
    <w:pPr>
      <w:jc w:val="center"/>
      <w:keepNext/>
      <w:outlineLvl w:val="0"/>
    </w:pPr>
    <w:rPr>
      <w:b/>
      <w:sz w:val="24"/>
    </w:rPr>
  </w:style>
  <w:style w:type="paragraph" w:styleId="898" w:customStyle="1">
    <w:name w:val="Heading 2"/>
    <w:basedOn w:val="722"/>
    <w:next w:val="722"/>
    <w:link w:val="732"/>
    <w:qFormat/>
    <w:pPr>
      <w:jc w:val="both"/>
      <w:keepNext/>
      <w:outlineLvl w:val="1"/>
    </w:pPr>
    <w:rPr>
      <w:sz w:val="24"/>
    </w:rPr>
  </w:style>
  <w:style w:type="paragraph" w:styleId="899" w:customStyle="1">
    <w:name w:val="Heading 3"/>
    <w:basedOn w:val="722"/>
    <w:next w:val="722"/>
    <w:link w:val="733"/>
    <w:qFormat/>
    <w:pPr>
      <w:ind w:left="426"/>
      <w:jc w:val="center"/>
      <w:keepNext/>
      <w:outlineLvl w:val="2"/>
    </w:pPr>
    <w:rPr>
      <w:b/>
      <w:bCs/>
      <w:sz w:val="24"/>
    </w:rPr>
  </w:style>
  <w:style w:type="paragraph" w:styleId="900" w:customStyle="1">
    <w:name w:val="Heading 4"/>
    <w:basedOn w:val="722"/>
    <w:next w:val="722"/>
    <w:link w:val="734"/>
    <w:qFormat/>
    <w:pPr>
      <w:jc w:val="center"/>
      <w:keepNext/>
      <w:outlineLvl w:val="3"/>
    </w:pPr>
    <w:rPr>
      <w:b/>
    </w:rPr>
  </w:style>
  <w:style w:type="paragraph" w:styleId="901" w:customStyle="1">
    <w:name w:val="Heading 5"/>
    <w:basedOn w:val="722"/>
    <w:next w:val="722"/>
    <w:link w:val="735"/>
    <w:qFormat/>
    <w:pPr>
      <w:jc w:val="center"/>
      <w:keepNext/>
      <w:outlineLvl w:val="4"/>
    </w:pPr>
    <w:rPr>
      <w:b/>
      <w:sz w:val="18"/>
    </w:rPr>
  </w:style>
  <w:style w:type="paragraph" w:styleId="902">
    <w:name w:val="Body Text"/>
    <w:basedOn w:val="722"/>
    <w:link w:val="928"/>
    <w:pPr>
      <w:jc w:val="both"/>
    </w:pPr>
  </w:style>
  <w:style w:type="paragraph" w:styleId="903">
    <w:name w:val="Body Text 2"/>
    <w:basedOn w:val="722"/>
    <w:link w:val="929"/>
    <w:pPr>
      <w:jc w:val="center"/>
    </w:pPr>
    <w:rPr>
      <w:sz w:val="18"/>
    </w:rPr>
  </w:style>
  <w:style w:type="paragraph" w:styleId="904">
    <w:name w:val="Body Text 3"/>
    <w:basedOn w:val="722"/>
    <w:pPr>
      <w:jc w:val="center"/>
    </w:pPr>
    <w:rPr>
      <w:b/>
      <w:sz w:val="18"/>
    </w:rPr>
  </w:style>
  <w:style w:type="paragraph" w:styleId="905">
    <w:name w:val="Body Text Indent"/>
    <w:basedOn w:val="722"/>
    <w:pPr>
      <w:ind w:firstLine="426"/>
      <w:jc w:val="both"/>
      <w:widowControl w:val="off"/>
    </w:pPr>
    <w:rPr>
      <w:sz w:val="24"/>
    </w:rPr>
  </w:style>
  <w:style w:type="paragraph" w:styleId="906" w:customStyle="1">
    <w:name w:val="Основной текст с отступом 21"/>
    <w:basedOn w:val="722"/>
    <w:pPr>
      <w:ind w:firstLine="426"/>
      <w:widowControl w:val="off"/>
    </w:pPr>
    <w:rPr>
      <w:sz w:val="24"/>
    </w:rPr>
  </w:style>
  <w:style w:type="paragraph" w:styleId="907">
    <w:name w:val="Body Text Indent 2"/>
    <w:basedOn w:val="722"/>
    <w:link w:val="932"/>
    <w:pPr>
      <w:ind w:left="66" w:firstLine="360"/>
      <w:jc w:val="both"/>
    </w:pPr>
    <w:rPr>
      <w:sz w:val="24"/>
    </w:rPr>
  </w:style>
  <w:style w:type="paragraph" w:styleId="908">
    <w:name w:val="Title"/>
    <w:basedOn w:val="722"/>
    <w:link w:val="744"/>
    <w:qFormat/>
    <w:pPr>
      <w:jc w:val="center"/>
    </w:pPr>
    <w:rPr>
      <w:b/>
      <w:sz w:val="28"/>
      <w:u w:val="single"/>
    </w:rPr>
  </w:style>
  <w:style w:type="paragraph" w:styleId="909" w:customStyle="1">
    <w:name w:val="Основной текст с отступом 31"/>
    <w:basedOn w:val="722"/>
    <w:pPr>
      <w:ind w:firstLine="360"/>
      <w:jc w:val="both"/>
      <w:widowControl w:val="off"/>
    </w:pPr>
    <w:rPr>
      <w:sz w:val="24"/>
    </w:rPr>
  </w:style>
  <w:style w:type="paragraph" w:styleId="910">
    <w:name w:val="Balloon Text"/>
    <w:basedOn w:val="722"/>
    <w:semiHidden/>
    <w:rPr>
      <w:rFonts w:ascii="Tahoma" w:hAnsi="Tahoma" w:cs="Tahoma"/>
      <w:sz w:val="16"/>
      <w:szCs w:val="16"/>
    </w:rPr>
  </w:style>
  <w:style w:type="paragraph" w:styleId="911">
    <w:name w:val="Subtitle"/>
    <w:basedOn w:val="722"/>
    <w:link w:val="913"/>
    <w:qFormat/>
    <w:pPr>
      <w:jc w:val="both"/>
    </w:pPr>
    <w:rPr>
      <w:sz w:val="24"/>
    </w:rPr>
  </w:style>
  <w:style w:type="character" w:styleId="912">
    <w:name w:val="Hyperlink"/>
    <w:basedOn w:val="723"/>
    <w:rPr>
      <w:color w:val="0000ff"/>
      <w:u w:val="single"/>
    </w:rPr>
  </w:style>
  <w:style w:type="character" w:styleId="913" w:customStyle="1">
    <w:name w:val="Подзаголовок Знак"/>
    <w:basedOn w:val="723"/>
    <w:link w:val="911"/>
    <w:rPr>
      <w:sz w:val="24"/>
      <w:lang w:val="ru-RU" w:eastAsia="ru-RU" w:bidi="ar-SA"/>
    </w:rPr>
  </w:style>
  <w:style w:type="paragraph" w:styleId="914">
    <w:name w:val="Body Text Indent 3"/>
    <w:basedOn w:val="722"/>
    <w:pPr>
      <w:ind w:left="283"/>
      <w:spacing w:after="120"/>
    </w:pPr>
    <w:rPr>
      <w:sz w:val="16"/>
      <w:szCs w:val="16"/>
    </w:rPr>
  </w:style>
  <w:style w:type="paragraph" w:styleId="915" w:customStyle="1">
    <w:name w:val="Знак2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6" w:customStyle="1">
    <w:name w:val="ConsPlusNormal"/>
    <w:rPr>
      <w:sz w:val="24"/>
      <w:szCs w:val="24"/>
    </w:rPr>
  </w:style>
  <w:style w:type="paragraph" w:styleId="917" w:customStyle="1">
    <w:name w:val="Знак21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8" w:customStyle="1">
    <w:name w:val="Header"/>
    <w:basedOn w:val="722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723"/>
    <w:link w:val="918"/>
    <w:uiPriority w:val="99"/>
  </w:style>
  <w:style w:type="paragraph" w:styleId="920" w:customStyle="1">
    <w:name w:val="Footer"/>
    <w:basedOn w:val="722"/>
    <w:link w:val="921"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723"/>
    <w:link w:val="920"/>
  </w:style>
  <w:style w:type="character" w:styleId="922">
    <w:name w:val="FollowedHyperlink"/>
    <w:basedOn w:val="723"/>
    <w:rPr>
      <w:color w:val="800080"/>
      <w:u w:val="single"/>
    </w:rPr>
  </w:style>
  <w:style w:type="paragraph" w:styleId="923" w:customStyle="1">
    <w:name w:val="rezul"/>
    <w:basedOn w:val="722"/>
    <w:pPr>
      <w:ind w:firstLine="283"/>
      <w:jc w:val="both"/>
      <w:widowControl w:val="off"/>
    </w:pPr>
    <w:rPr>
      <w:b/>
      <w:sz w:val="22"/>
      <w:lang w:val="en-US" w:eastAsia="en-US"/>
    </w:rPr>
  </w:style>
  <w:style w:type="paragraph" w:styleId="924" w:customStyle="1">
    <w:name w:val="TextBoldCenter"/>
    <w:basedOn w:val="722"/>
    <w:pPr>
      <w:jc w:val="center"/>
      <w:spacing w:before="283"/>
    </w:pPr>
    <w:rPr>
      <w:rFonts w:eastAsia="Calibri"/>
      <w:b/>
      <w:bCs/>
      <w:sz w:val="26"/>
      <w:szCs w:val="26"/>
    </w:rPr>
  </w:style>
  <w:style w:type="paragraph" w:styleId="925">
    <w:name w:val="No Spacing"/>
    <w:link w:val="926"/>
    <w:qFormat/>
    <w:rPr>
      <w:rFonts w:ascii="Calibri" w:hAnsi="Calibri"/>
      <w:sz w:val="22"/>
      <w:szCs w:val="22"/>
      <w:lang w:eastAsia="en-US"/>
    </w:rPr>
  </w:style>
  <w:style w:type="character" w:styleId="926" w:customStyle="1">
    <w:name w:val="Без интервала Знак"/>
    <w:link w:val="925"/>
    <w:rPr>
      <w:rFonts w:ascii="Calibri" w:hAnsi="Calibri"/>
      <w:sz w:val="22"/>
      <w:szCs w:val="22"/>
      <w:lang w:eastAsia="en-US" w:bidi="ar-SA"/>
    </w:rPr>
  </w:style>
  <w:style w:type="paragraph" w:styleId="927" w:customStyle="1">
    <w:name w:val="Таблицы (моноширинный)"/>
    <w:basedOn w:val="722"/>
    <w:next w:val="722"/>
    <w:pPr>
      <w:jc w:val="both"/>
    </w:pPr>
    <w:rPr>
      <w:rFonts w:ascii="Courier New" w:hAnsi="Courier New" w:cs="Courier New"/>
    </w:rPr>
  </w:style>
  <w:style w:type="character" w:styleId="928" w:customStyle="1">
    <w:name w:val="Основной текст Знак"/>
    <w:basedOn w:val="723"/>
    <w:link w:val="902"/>
  </w:style>
  <w:style w:type="character" w:styleId="929" w:customStyle="1">
    <w:name w:val="Основной текст 2 Знак"/>
    <w:basedOn w:val="723"/>
    <w:link w:val="903"/>
    <w:rPr>
      <w:sz w:val="18"/>
    </w:rPr>
  </w:style>
  <w:style w:type="paragraph" w:styleId="930">
    <w:name w:val="List Paragraph"/>
    <w:basedOn w:val="722"/>
    <w:uiPriority w:val="99"/>
    <w:qFormat/>
    <w:pPr>
      <w:ind w:left="121" w:right="130" w:firstLine="706"/>
      <w:jc w:val="both"/>
      <w:widowControl w:val="off"/>
    </w:pPr>
    <w:rPr>
      <w:sz w:val="22"/>
      <w:szCs w:val="22"/>
      <w:lang w:bidi="ru-RU"/>
    </w:rPr>
  </w:style>
  <w:style w:type="character" w:styleId="931" w:customStyle="1">
    <w:name w:val="Body text (2)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32" w:customStyle="1">
    <w:name w:val="Основной текст с отступом 2 Знак"/>
    <w:basedOn w:val="723"/>
    <w:link w:val="907"/>
    <w:rPr>
      <w:sz w:val="24"/>
    </w:rPr>
  </w:style>
  <w:style w:type="character" w:styleId="933" w:customStyle="1">
    <w:name w:val="Body text (2) + 11 pt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934" w:customStyle="1">
    <w:name w:val="First Paragraph"/>
    <w:basedOn w:val="902"/>
    <w:next w:val="902"/>
    <w:qFormat/>
    <w:pPr>
      <w:jc w:val="left"/>
      <w:spacing w:before="180" w:after="180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5" w:customStyle="1">
    <w:name w:val="Compact"/>
    <w:basedOn w:val="902"/>
    <w:qFormat/>
    <w:pPr>
      <w:jc w:val="left"/>
      <w:spacing w:before="36" w:after="36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6" w:customStyle="1">
    <w:name w:val="Default"/>
    <w:rPr>
      <w:color w:val="000000"/>
      <w:sz w:val="24"/>
      <w:szCs w:val="24"/>
    </w:rPr>
  </w:style>
  <w:style w:type="paragraph" w:styleId="937" w:customStyle="1">
    <w:name w:val="Обычный (веб)1"/>
    <w:uiPriority w:val="99"/>
    <w:unhideWhenUsed/>
    <w:pPr>
      <w:spacing w:before="100" w:beforeAutospacing="1" w:after="100" w:afterAutospacing="1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55B44-C0BD-4BEE-9244-6474B536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22</cp:revision>
  <dcterms:created xsi:type="dcterms:W3CDTF">2025-12-15T08:14:00Z</dcterms:created>
  <dcterms:modified xsi:type="dcterms:W3CDTF">2026-02-12T07:59:45Z</dcterms:modified>
</cp:coreProperties>
</file>