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АДМИНИСТРАЦИИ ГОРОДА НИЖНЕГО НОВГОРОДА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 xml:space="preserve">№ 05</w:t>
      </w:r>
      <w:r>
        <w:rPr>
          <w:b/>
          <w:color w:val="000000"/>
          <w:sz w:val="26"/>
          <w:szCs w:val="26"/>
        </w:rPr>
        <w:t xml:space="preserve">/2026 о проведении</w:t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16</w:t>
      </w:r>
      <w:r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апреля</w:t>
      </w:r>
      <w:r>
        <w:rPr>
          <w:b/>
          <w:sz w:val="30"/>
          <w:szCs w:val="30"/>
          <w:u w:val="single"/>
        </w:rPr>
        <w:t xml:space="preserve"> 2026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  <w:r>
        <w:rPr>
          <w:b/>
          <w:color w:val="000000"/>
          <w:sz w:val="30"/>
          <w:szCs w:val="30"/>
          <w:u w:val="single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муниципального образования городской округ город Нижний Новгород,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 Национальной электронной площадке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https://www.fabrikant.ru/ в сети Интернет</w:t>
      </w:r>
      <w:r>
        <w:rPr>
          <w:b/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</w:p>
    <w:p>
      <w:pPr>
        <w:pStyle w:val="90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https://</w:t>
      </w:r>
      <w:r>
        <w:rPr>
          <w:sz w:val="26"/>
          <w:szCs w:val="26"/>
          <w:lang w:val="en-US" w:eastAsia="en-US"/>
        </w:rPr>
        <w:t xml:space="preserve">www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  <w:t xml:space="preserve">fabrikant.ru</w:t>
      </w:r>
      <w:r>
        <w:rPr>
          <w:sz w:val="26"/>
          <w:szCs w:val="26"/>
          <w:lang w:eastAsia="en-US"/>
        </w:rPr>
        <w:t xml:space="preserve">/</w:t>
      </w:r>
      <w:r>
        <w:rPr>
          <w:color w:val="000000"/>
          <w:sz w:val="26"/>
          <w:szCs w:val="26"/>
          <w:lang w:eastAsia="en-US"/>
        </w:rPr>
        <w:t xml:space="preserve">).</w:t>
      </w:r>
      <w:r>
        <w:rPr>
          <w:color w:val="000000"/>
          <w:sz w:val="26"/>
          <w:szCs w:val="26"/>
          <w:lang w:eastAsia="en-US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имущества,</w:t>
      </w:r>
      <w:r>
        <w:rPr>
          <w:color w:val="000000"/>
          <w:sz w:val="26"/>
          <w:szCs w:val="26"/>
        </w:rPr>
        <w:t xml:space="preserve"> находящегося в собственности муниципального образования городской округ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</w:t>
      </w:r>
      <w:r>
        <w:rPr>
          <w:color w:val="000000"/>
          <w:sz w:val="26"/>
          <w:szCs w:val="26"/>
        </w:rPr>
        <w:t xml:space="preserve"> приватизации государственного и муниципального имущества» (далее – Закон о приватизации),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r>
        <w:rPr>
          <w:color w:val="000000"/>
          <w:sz w:val="26"/>
          <w:szCs w:val="26"/>
        </w:rPr>
        <w:t xml:space="preserve"> форме», на основан</w:t>
      </w:r>
      <w:r>
        <w:rPr>
          <w:color w:val="000000"/>
          <w:sz w:val="26"/>
          <w:szCs w:val="26"/>
        </w:rPr>
        <w:t xml:space="preserve">ии решения городской Думы города Нижнего Новгорода от 17.12.2025 № 135 «О Прогнозном плане (программе) приватизации муниципального имущества, находящегося в собственности муниципального образования городской округ город Нижний Новгород, на 2026-2028 годы».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 электронной форме (информация о продаже также размещена на сайтах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912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color w:val="000000"/>
          <w:sz w:val="26"/>
          <w:szCs w:val="26"/>
          <w:u w:val="singl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5761" w:type="dxa"/>
        <w:jc w:val="center"/>
        <w:tblInd w:w="-2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552"/>
        <w:gridCol w:w="2977"/>
        <w:gridCol w:w="1134"/>
        <w:gridCol w:w="992"/>
        <w:gridCol w:w="850"/>
        <w:gridCol w:w="2506"/>
        <w:gridCol w:w="1418"/>
        <w:gridCol w:w="1417"/>
        <w:gridCol w:w="1251"/>
      </w:tblGrid>
      <w:tr>
        <w:tblPrEx/>
        <w:trPr>
          <w:jc w:val="center"/>
          <w:trHeight w:val="1829" w:hRule="exact"/>
        </w:trPr>
        <w:tc>
          <w:tcPr>
            <w:shd w:val="clear" w:color="auto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  <w:lang w:val="en-US" w:eastAsia="en-US" w:bidi="en-US"/>
              </w:rPr>
              <w:t xml:space="preserve">№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лота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</w:p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</w:t>
            </w:r>
            <w:r>
              <w:rPr>
                <w:sz w:val="24"/>
                <w:szCs w:val="24"/>
              </w:rPr>
            </w:r>
          </w:p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Кадастровый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Общая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 (кв</w:t>
            </w:r>
            <w:r>
              <w:rPr>
                <w:rStyle w:val="931"/>
                <w:sz w:val="22"/>
                <w:szCs w:val="22"/>
              </w:rPr>
              <w:t xml:space="preserve">.м</w:t>
            </w:r>
            <w:r>
              <w:rPr>
                <w:rStyle w:val="931"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Год ввода дома в эксплуатацию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Описание 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Начальная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(с учетом НДС)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Задаток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(10% от начальной цены объекта)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Шаг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аукциона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1537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(подвал №1)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г Нижний Новгород, р-н Автозаводский, пер Моторный,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 1, </w:t>
            </w:r>
            <w:r>
              <w:rPr>
                <w:sz w:val="24"/>
                <w:szCs w:val="24"/>
              </w:rPr>
              <w:t xml:space="preserve">пом</w:t>
            </w:r>
            <w:r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52:18:0040205:134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173,6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1938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расположено в подвале пятиэтажного жилого дома. Имеются 1 отдельный вход с фасада здания и 2 </w:t>
            </w:r>
            <w:r>
              <w:rPr>
                <w:sz w:val="24"/>
                <w:szCs w:val="24"/>
              </w:rPr>
              <w:t xml:space="preserve">совместных</w:t>
            </w:r>
            <w:r>
              <w:rPr>
                <w:sz w:val="24"/>
                <w:szCs w:val="24"/>
              </w:rPr>
              <w:t xml:space="preserve"> входа с жителями дома через подъезды №№42 и 43.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973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576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597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357,6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2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298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678,8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537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встроенное помещение </w:t>
            </w:r>
            <w:r>
              <w:rPr>
                <w:sz w:val="24"/>
                <w:szCs w:val="24"/>
              </w:rPr>
            </w:r>
          </w:p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(подвал №1)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 Нижний Новгород, р-н Автозаводский, пер Моторный,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 1, </w:t>
            </w:r>
            <w:r>
              <w:rPr>
                <w:sz w:val="24"/>
                <w:szCs w:val="24"/>
              </w:rPr>
              <w:t xml:space="preserve">пом</w:t>
            </w:r>
            <w:r>
              <w:rPr>
                <w:sz w:val="24"/>
                <w:szCs w:val="24"/>
              </w:rPr>
              <w:t xml:space="preserve"> П3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52:18:0040205:147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169,3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1938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расположено в подвале пятиэтажного жилого дома. Имеются 1 отдельный вход с фасада здания и 2 </w:t>
            </w:r>
            <w:r>
              <w:rPr>
                <w:sz w:val="24"/>
                <w:szCs w:val="24"/>
              </w:rPr>
              <w:t xml:space="preserve">совместных</w:t>
            </w:r>
            <w:r>
              <w:rPr>
                <w:sz w:val="24"/>
                <w:szCs w:val="24"/>
              </w:rPr>
              <w:t xml:space="preserve"> входа с жителями дома через подъезды.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5 825 613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582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561,3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2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291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280,65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792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встроенное помещение </w:t>
            </w:r>
            <w:r>
              <w:rPr>
                <w:sz w:val="24"/>
                <w:szCs w:val="24"/>
              </w:rPr>
            </w:r>
          </w:p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(подвал №1)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</w:t>
            </w:r>
            <w:r>
              <w:rPr>
                <w:sz w:val="24"/>
                <w:szCs w:val="24"/>
              </w:rPr>
              <w:t xml:space="preserve">обл</w:t>
            </w:r>
            <w:r>
              <w:rPr>
                <w:sz w:val="24"/>
                <w:szCs w:val="24"/>
              </w:rPr>
              <w:t xml:space="preserve">, г Нижний Новгород, р-н Автозаводский, пер Моторный, дом 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52:18:0040205:135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187,2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1938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расположено в подвале пятиэтажного жилого дома. Вход с фасада здания.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441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552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644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155,2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2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322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077,6</w:t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jc w:val="both"/>
        <w:tabs>
          <w:tab w:val="num" w:pos="0" w:leader="none"/>
        </w:tabs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</w:r>
      <w:r>
        <w:rPr>
          <w:b/>
          <w:sz w:val="26"/>
          <w:szCs w:val="26"/>
          <w:highlight w:val="yellow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Примечание: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</w:t>
      </w:r>
      <w:r>
        <w:rPr>
          <w:b/>
          <w:sz w:val="26"/>
          <w:szCs w:val="26"/>
          <w:u w:val="single"/>
        </w:rPr>
        <w:t xml:space="preserve">1-3</w:t>
      </w:r>
      <w:r>
        <w:rPr>
          <w:b/>
          <w:sz w:val="26"/>
          <w:szCs w:val="26"/>
          <w:u w:val="single"/>
        </w:rPr>
        <w:t xml:space="preserve">:</w:t>
      </w:r>
      <w:r>
        <w:rPr>
          <w:b/>
          <w:sz w:val="26"/>
          <w:szCs w:val="26"/>
        </w:rPr>
        <w:t xml:space="preserve">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  <w:r>
        <w:rPr>
          <w:b/>
          <w:bCs/>
          <w:sz w:val="26"/>
          <w:szCs w:val="26"/>
        </w:rPr>
      </w:r>
    </w:p>
    <w:p>
      <w:pPr>
        <w:jc w:val="both"/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</w:r>
      <w:r>
        <w:rPr>
          <w:b/>
          <w:sz w:val="26"/>
          <w:szCs w:val="26"/>
          <w:highlight w:val="yellow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Обременение по лот</w:t>
      </w:r>
      <w:r>
        <w:rPr>
          <w:b/>
          <w:sz w:val="26"/>
          <w:szCs w:val="26"/>
          <w:u w:val="single"/>
        </w:rPr>
        <w:t xml:space="preserve">ам</w:t>
      </w:r>
      <w:r>
        <w:rPr>
          <w:b/>
          <w:sz w:val="26"/>
          <w:szCs w:val="26"/>
          <w:u w:val="single"/>
        </w:rPr>
        <w:t xml:space="preserve"> №</w:t>
      </w:r>
      <w:r>
        <w:rPr>
          <w:b/>
          <w:sz w:val="26"/>
          <w:szCs w:val="26"/>
          <w:u w:val="single"/>
        </w:rPr>
        <w:t xml:space="preserve">№</w:t>
      </w:r>
      <w:r>
        <w:rPr>
          <w:b/>
          <w:sz w:val="26"/>
          <w:szCs w:val="26"/>
          <w:u w:val="single"/>
        </w:rPr>
        <w:t xml:space="preserve"> 1</w:t>
      </w:r>
      <w:r>
        <w:rPr>
          <w:b/>
          <w:sz w:val="26"/>
          <w:szCs w:val="26"/>
          <w:u w:val="single"/>
        </w:rPr>
        <w:t xml:space="preserve">-3</w:t>
      </w:r>
      <w:r>
        <w:rPr>
          <w:b/>
          <w:sz w:val="26"/>
          <w:szCs w:val="26"/>
          <w:u w:val="single"/>
        </w:rPr>
        <w:t xml:space="preserve">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нежилые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помещения с кадастровыми номерами </w:t>
      </w:r>
      <w:r>
        <w:rPr>
          <w:b/>
          <w:sz w:val="26"/>
          <w:szCs w:val="26"/>
        </w:rPr>
        <w:t xml:space="preserve">52:18:0040205:134, 52:18:0040205:147</w:t>
      </w:r>
      <w:r>
        <w:rPr>
          <w:b/>
          <w:sz w:val="26"/>
          <w:szCs w:val="26"/>
        </w:rPr>
        <w:t xml:space="preserve">,</w:t>
      </w:r>
      <w:r>
        <w:rPr>
          <w:b/>
          <w:sz w:val="26"/>
          <w:szCs w:val="26"/>
        </w:rPr>
        <w:t xml:space="preserve"> 52:18:0040205:135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расположены</w:t>
      </w:r>
      <w:r>
        <w:rPr>
          <w:b/>
          <w:sz w:val="26"/>
          <w:szCs w:val="26"/>
        </w:rPr>
        <w:t xml:space="preserve"> в здании, </w:t>
      </w:r>
      <w:r>
        <w:rPr>
          <w:b/>
          <w:sz w:val="26"/>
          <w:szCs w:val="26"/>
        </w:rPr>
        <w:t xml:space="preserve">являющемся объектом культурного наследия регионального значения – «Ансамбль застройки жилых кварталов № 3, № 4 </w:t>
      </w:r>
      <w:r>
        <w:rPr>
          <w:b/>
          <w:sz w:val="26"/>
          <w:szCs w:val="26"/>
        </w:rPr>
        <w:t xml:space="preserve">Соцгорода</w:t>
      </w:r>
      <w:r>
        <w:rPr>
          <w:b/>
          <w:sz w:val="26"/>
          <w:szCs w:val="26"/>
        </w:rPr>
        <w:t xml:space="preserve"> Автозавода. Квартал № 4. 17. Жилой </w:t>
      </w:r>
      <w:r>
        <w:rPr>
          <w:b/>
          <w:sz w:val="26"/>
          <w:szCs w:val="26"/>
        </w:rPr>
        <w:t xml:space="preserve">дом», включенным в единый государственный реестр объектов культурного наследия (памятников истории и культуры) народов Российской Федерации на основании решения Исполнительного комитета Горьковского областного Совета народных депутатов от 18.12.1989 № 471.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Приказом Управления государственной охраны объектов культурного наследия Нижегородской области </w:t>
      </w:r>
      <w:r>
        <w:rPr>
          <w:b/>
          <w:sz w:val="26"/>
          <w:szCs w:val="26"/>
        </w:rPr>
        <w:t xml:space="preserve">от 10.09.2015 № 8 </w:t>
      </w:r>
      <w:r>
        <w:rPr>
          <w:b/>
          <w:sz w:val="26"/>
          <w:szCs w:val="26"/>
        </w:rPr>
        <w:t xml:space="preserve">на данный объект культурного наследия</w:t>
      </w:r>
      <w:r>
        <w:rPr>
          <w:b/>
          <w:sz w:val="26"/>
          <w:szCs w:val="26"/>
        </w:rPr>
        <w:t xml:space="preserve"> утверждено охранное обязательство собственника </w:t>
      </w:r>
      <w:r>
        <w:rPr>
          <w:b/>
          <w:sz w:val="26"/>
          <w:szCs w:val="26"/>
        </w:rPr>
        <w:t xml:space="preserve">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b/>
          <w:sz w:val="26"/>
          <w:szCs w:val="26"/>
        </w:rPr>
        <w:t xml:space="preserve"> (далее – Охранное обязательство</w:t>
      </w:r>
      <w:r>
        <w:rPr>
          <w:b/>
          <w:sz w:val="26"/>
          <w:szCs w:val="26"/>
        </w:rPr>
        <w:t xml:space="preserve">)(</w:t>
      </w:r>
      <w:r>
        <w:rPr>
          <w:b/>
          <w:sz w:val="26"/>
          <w:szCs w:val="26"/>
        </w:rPr>
        <w:t xml:space="preserve">приложение №3 к информационному сообщению)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выполня</w:t>
      </w:r>
      <w:r>
        <w:rPr>
          <w:b/>
          <w:sz w:val="26"/>
          <w:szCs w:val="26"/>
        </w:rPr>
        <w:t xml:space="preserve">ть требования, предусмотренные О</w:t>
      </w:r>
      <w:r>
        <w:rPr>
          <w:b/>
          <w:sz w:val="26"/>
          <w:szCs w:val="26"/>
        </w:rPr>
        <w:t xml:space="preserve">хранным обязательством, порядок и условия их выполнения,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 также требования, установленные </w:t>
      </w:r>
      <w:r>
        <w:rPr>
          <w:b/>
          <w:sz w:val="26"/>
          <w:szCs w:val="26"/>
        </w:rPr>
        <w:t xml:space="preserve">Федеральным законом</w:t>
      </w:r>
      <w:r>
        <w:rPr>
          <w:b/>
          <w:sz w:val="26"/>
          <w:szCs w:val="26"/>
        </w:rPr>
        <w:t xml:space="preserve"> от 25.06.2002 № 73-ФЗ «Об объектах культурного наследия (памятниках истории и культуры) народов Российской Федерации»</w:t>
      </w:r>
      <w:r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 xml:space="preserve">далее – Федеральный закон № 73-ФЗ)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у</w:t>
      </w:r>
      <w:r>
        <w:rPr>
          <w:b/>
          <w:sz w:val="26"/>
          <w:szCs w:val="26"/>
        </w:rPr>
        <w:t xml:space="preserve">становить в соответствии с Федеральным законом 73-ФЗ информационную надпись и обозначение на фаса</w:t>
      </w:r>
      <w:r>
        <w:rPr>
          <w:b/>
          <w:sz w:val="26"/>
          <w:szCs w:val="26"/>
        </w:rPr>
        <w:t xml:space="preserve">де здания, в котором находится объект</w:t>
      </w:r>
      <w:r>
        <w:rPr>
          <w:b/>
          <w:sz w:val="26"/>
          <w:szCs w:val="26"/>
        </w:rPr>
        <w:t xml:space="preserve">, содержащую информацию об объекте культурного наследия, в течение одного года с момента р</w:t>
      </w:r>
      <w:r>
        <w:rPr>
          <w:b/>
          <w:sz w:val="26"/>
          <w:szCs w:val="26"/>
        </w:rPr>
        <w:t xml:space="preserve">егистрации права собственности покупателя на объект (в случае отсутствия)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u w:val="single"/>
          <w:lang w:bidi="ru-RU"/>
        </w:rPr>
      </w:pPr>
      <w:r>
        <w:rPr>
          <w:color w:val="000000"/>
          <w:sz w:val="26"/>
          <w:szCs w:val="26"/>
          <w:u w:val="single"/>
          <w:lang w:bidi="ru-RU"/>
        </w:rPr>
      </w:r>
      <w:r>
        <w:rPr>
          <w:color w:val="000000"/>
          <w:sz w:val="26"/>
          <w:szCs w:val="26"/>
          <w:u w:val="single"/>
          <w:lang w:bidi="ru-RU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</w:t>
      </w:r>
      <w:r>
        <w:rPr>
          <w:color w:val="000000"/>
          <w:sz w:val="26"/>
          <w:szCs w:val="26"/>
          <w:u w:val="single"/>
          <w:lang w:bidi="ru-RU"/>
        </w:rPr>
        <w:t xml:space="preserve"> №</w:t>
      </w:r>
      <w:r>
        <w:rPr>
          <w:color w:val="000000"/>
          <w:sz w:val="26"/>
          <w:szCs w:val="26"/>
          <w:u w:val="single"/>
          <w:lang w:bidi="ru-RU"/>
        </w:rPr>
        <w:t xml:space="preserve">№</w:t>
      </w:r>
      <w:r>
        <w:rPr>
          <w:color w:val="000000"/>
          <w:sz w:val="26"/>
          <w:szCs w:val="26"/>
          <w:u w:val="single"/>
          <w:lang w:bidi="ru-RU"/>
        </w:rPr>
        <w:t xml:space="preserve"> 1</w:t>
      </w:r>
      <w:r>
        <w:rPr>
          <w:color w:val="000000"/>
          <w:sz w:val="26"/>
          <w:szCs w:val="26"/>
          <w:u w:val="single"/>
          <w:lang w:bidi="ru-RU"/>
        </w:rPr>
        <w:t xml:space="preserve">-3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Аукцион</w:t>
      </w:r>
      <w:r>
        <w:rPr>
          <w:sz w:val="26"/>
          <w:szCs w:val="26"/>
        </w:rPr>
        <w:t xml:space="preserve"> от 12.03.2025 № 5406421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по продаже не состоял</w:t>
      </w:r>
      <w:r>
        <w:rPr>
          <w:color w:val="000000"/>
          <w:sz w:val="26"/>
          <w:szCs w:val="26"/>
          <w:lang w:bidi="ru-RU"/>
        </w:rPr>
        <w:t xml:space="preserve">с</w:t>
      </w:r>
      <w:r>
        <w:rPr>
          <w:color w:val="000000"/>
          <w:sz w:val="26"/>
          <w:szCs w:val="26"/>
          <w:lang w:bidi="ru-RU"/>
        </w:rPr>
        <w:t xml:space="preserve">я</w:t>
      </w:r>
      <w:r>
        <w:rPr>
          <w:color w:val="000000"/>
          <w:sz w:val="26"/>
          <w:szCs w:val="26"/>
          <w:lang w:bidi="ru-RU"/>
        </w:rPr>
        <w:t xml:space="preserve"> в связи с тем, что не было подано ни одной заявки на участие либо ни один из претендентов не признан участником</w:t>
      </w:r>
      <w:r>
        <w:rPr>
          <w:color w:val="000000"/>
          <w:sz w:val="26"/>
          <w:szCs w:val="26"/>
          <w:lang w:bidi="ru-RU"/>
        </w:rPr>
        <w:t xml:space="preserve">.</w:t>
      </w:r>
      <w:r>
        <w:rPr>
          <w:color w:val="000000"/>
          <w:sz w:val="26"/>
          <w:szCs w:val="26"/>
          <w:lang w:bidi="ru-RU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</w:t>
      </w:r>
      <w:r>
        <w:rPr>
          <w:rFonts w:eastAsia="Calibri"/>
          <w:sz w:val="26"/>
          <w:szCs w:val="26"/>
        </w:rPr>
        <w:t xml:space="preserve">20</w:t>
      </w:r>
      <w:r>
        <w:rPr>
          <w:rFonts w:eastAsia="Calibri"/>
          <w:sz w:val="26"/>
          <w:szCs w:val="26"/>
        </w:rPr>
        <w:t xml:space="preserve">.02.2026 в 15:00.</w:t>
      </w:r>
      <w:r>
        <w:rPr>
          <w:rFonts w:eastAsia="Calibri"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</w:t>
      </w:r>
      <w:r>
        <w:rPr>
          <w:rFonts w:eastAsia="Calibri"/>
          <w:sz w:val="26"/>
          <w:szCs w:val="26"/>
        </w:rPr>
        <w:t xml:space="preserve">14</w:t>
      </w:r>
      <w:r>
        <w:rPr>
          <w:rFonts w:eastAsia="Calibri"/>
          <w:sz w:val="26"/>
          <w:szCs w:val="26"/>
        </w:rPr>
        <w:t xml:space="preserve">.04</w:t>
      </w:r>
      <w:r>
        <w:rPr>
          <w:rFonts w:eastAsia="Calibri"/>
          <w:sz w:val="26"/>
          <w:szCs w:val="26"/>
        </w:rPr>
        <w:t xml:space="preserve">.2026 в 15:00.</w:t>
      </w:r>
      <w:r>
        <w:rPr>
          <w:rFonts w:eastAsia="Calibri"/>
          <w:sz w:val="26"/>
          <w:szCs w:val="26"/>
        </w:rPr>
      </w:r>
    </w:p>
    <w:p>
      <w:pPr>
        <w:pStyle w:val="905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1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.0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.2026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 15:00.</w:t>
      </w:r>
      <w:r>
        <w:rPr>
          <w:bCs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Определение участников аукциона</w:t>
      </w:r>
      <w:r>
        <w:rPr>
          <w:rFonts w:eastAsia="Calibri"/>
          <w:sz w:val="26"/>
          <w:szCs w:val="26"/>
        </w:rPr>
        <w:t xml:space="preserve"> – 15</w:t>
      </w:r>
      <w:r>
        <w:rPr>
          <w:rFonts w:eastAsia="Calibri"/>
          <w:sz w:val="26"/>
          <w:szCs w:val="26"/>
        </w:rPr>
        <w:t xml:space="preserve">.04</w:t>
      </w:r>
      <w:r>
        <w:rPr>
          <w:rFonts w:eastAsia="Calibri"/>
          <w:sz w:val="26"/>
          <w:szCs w:val="26"/>
        </w:rPr>
        <w:t xml:space="preserve">.2026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 23:59.</w:t>
      </w:r>
      <w:r>
        <w:rPr>
          <w:rFonts w:eastAsia="Calibri"/>
          <w:sz w:val="26"/>
          <w:szCs w:val="26"/>
        </w:rPr>
      </w:r>
    </w:p>
    <w:p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 xml:space="preserve"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 xml:space="preserve">) –</w:t>
      </w:r>
      <w:r>
        <w:rPr>
          <w:b/>
          <w:sz w:val="26"/>
          <w:szCs w:val="26"/>
          <w:u w:val="single"/>
        </w:rPr>
        <w:t xml:space="preserve"> 16</w:t>
      </w:r>
      <w:r>
        <w:rPr>
          <w:b/>
          <w:sz w:val="26"/>
          <w:szCs w:val="26"/>
          <w:u w:val="single"/>
        </w:rPr>
        <w:t xml:space="preserve">.04</w:t>
      </w:r>
      <w:r>
        <w:rPr>
          <w:b/>
          <w:sz w:val="26"/>
          <w:szCs w:val="26"/>
          <w:u w:val="single"/>
        </w:rPr>
        <w:t xml:space="preserve">.2026 в 09:30.</w:t>
      </w:r>
      <w:r>
        <w:rPr>
          <w:rFonts w:eastAsia="Calibri"/>
          <w:b/>
          <w:sz w:val="30"/>
          <w:szCs w:val="30"/>
          <w:u w:val="single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 xml:space="preserve"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  <w:r>
        <w:rPr>
          <w:rFonts w:eastAsia="Calibri"/>
          <w:sz w:val="26"/>
          <w:szCs w:val="26"/>
          <w:lang w:val="ru-RU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</w:t>
      </w:r>
      <w:r>
        <w:rPr>
          <w:b/>
          <w:sz w:val="26"/>
          <w:szCs w:val="26"/>
        </w:rPr>
        <w:t xml:space="preserve">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район: 430-00-57;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Канавинский район, Московский район: 222-22-65;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Кстовский</w:t>
      </w:r>
      <w:r>
        <w:rPr>
          <w:b/>
          <w:sz w:val="26"/>
          <w:szCs w:val="26"/>
        </w:rPr>
        <w:t xml:space="preserve"> район: 453-92-50 (доб.324).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435-69-24.</w:t>
      </w:r>
      <w:r>
        <w:rPr>
          <w:b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проведен</w:t>
      </w:r>
      <w:r>
        <w:rPr>
          <w:rFonts w:eastAsia="Calibri"/>
          <w:color w:val="000000"/>
          <w:sz w:val="26"/>
          <w:szCs w:val="26"/>
        </w:rPr>
        <w:t xml:space="preserve">ии ау</w:t>
      </w:r>
      <w:r>
        <w:rPr>
          <w:rFonts w:eastAsia="Calibri"/>
          <w:color w:val="000000"/>
          <w:sz w:val="26"/>
          <w:szCs w:val="26"/>
        </w:rPr>
        <w:t xml:space="preserve">кциона по продаже имущества и условиях его проведения явля</w:t>
      </w:r>
      <w:r>
        <w:rPr>
          <w:rFonts w:eastAsia="Calibri"/>
          <w:color w:val="000000"/>
          <w:sz w:val="26"/>
          <w:szCs w:val="26"/>
        </w:rPr>
        <w:t xml:space="preserve">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color w:val="000000"/>
        </w:rPr>
        <w:t xml:space="preserve"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 xml:space="preserve"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  <w:r>
        <w:rPr>
          <w:b w:val="0"/>
          <w:color w:val="000000"/>
        </w:rPr>
      </w:r>
    </w:p>
    <w:p>
      <w:pPr>
        <w:pStyle w:val="924"/>
        <w:ind w:firstLine="426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аукционе,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победителя аукциона либо лица, признан</w:t>
      </w:r>
      <w:r>
        <w:rPr>
          <w:b w:val="0"/>
          <w:color w:val="000000"/>
        </w:rPr>
        <w:t xml:space="preserve">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  <w:r>
        <w:rPr>
          <w:b w:val="0"/>
          <w:color w:val="000000"/>
        </w:rPr>
      </w:r>
    </w:p>
    <w:p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 xml:space="preserve">единственным участником аукциона</w:t>
      </w:r>
      <w:r>
        <w:rPr>
          <w:b/>
          <w:color w:val="000000"/>
          <w:sz w:val="26"/>
          <w:szCs w:val="26"/>
        </w:rPr>
        <w:t xml:space="preserve">:</w:t>
      </w:r>
      <w:r>
        <w:rPr>
          <w:b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аукциона договора купли-продажи (результаты аукциона аннулируются Продавцом), при этом он утрачивает право на заключение указанного договора;</w:t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 xml:space="preserve"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лица, признанного единственным </w:t>
      </w:r>
      <w:r>
        <w:rPr>
          <w:rFonts w:eastAsia="Calibri"/>
          <w:color w:val="000000"/>
          <w:sz w:val="26"/>
          <w:szCs w:val="26"/>
        </w:rPr>
        <w:t xml:space="preserve">участником аукциона,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</w:t>
      </w:r>
      <w:r>
        <w:rPr>
          <w:rFonts w:eastAsia="Calibri"/>
          <w:color w:val="000000"/>
          <w:sz w:val="26"/>
          <w:szCs w:val="26"/>
        </w:rPr>
        <w:t xml:space="preserve">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аукциона либо лицо, признанное единственным участником аукциона, является физическим лицом, не зарегистрированным в качестве индивидуального предпринимателя):</w:t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__________ № _____».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</w:t>
      </w:r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 xml:space="preserve">на соответствующий счет</w:t>
      </w:r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 xml:space="preserve">.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признанным единственным участником аукциона, в течение 5 (пяти) рабочих дней со дня подведения итогов аукциона. 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задатки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представляются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заявка на участие в продаже, заполненная в форме электронного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удостоверяющего личность (в случае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представления копии паспорта гражданина Российской Федерации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начала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конфиденциальность данных о Претендентах и участниках.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sz w:val="26"/>
          <w:szCs w:val="26"/>
        </w:rPr>
        <w:t xml:space="preserve">уведомления</w:t>
      </w:r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 регистрации на электронной площадке с даты размещения информационного сообщения на официальном сайте торгов до даты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 xml:space="preserve">https</w:t>
      </w:r>
      <w:r>
        <w:rPr>
          <w:b w:val="0"/>
          <w:color w:val="000000"/>
          <w:sz w:val="26"/>
          <w:szCs w:val="26"/>
          <w:lang w:val="ru-RU"/>
        </w:rPr>
        <w:t xml:space="preserve"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аукционе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соответствии с перечнем, указанным в информационном сообщении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оформление представленных документов не соответствует законодательству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Претенденту в участии в аукционе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публикации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5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с даты размещения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аукционе Претенденты перечисляют задаток в размере 10 процентов начальной цены продажи имущества в счет обеспечения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статус участника аукциона с момента подписания протокола о признании Претендентов участниками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площадки и на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 xml:space="preserve">В случае</w:t>
      </w:r>
      <w:r>
        <w:rPr>
          <w:rFonts w:eastAsiaTheme="minorHAnsi"/>
          <w:bCs/>
          <w:sz w:val="26"/>
          <w:szCs w:val="26"/>
          <w:lang w:val="ru-RU"/>
        </w:rPr>
        <w:t xml:space="preserve">,</w:t>
      </w:r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  <w:r>
        <w:rPr>
          <w:rFonts w:eastAsiaTheme="minorHAnsi"/>
          <w:bCs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Со времени начала проведения процедуры аукциона Организатором размещается: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закрытой части электронной 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программными средствами электронной площадки обеспечивается: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цену имущества, предложенную победителем, и удостоверяющий право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победителя на заключение договора купли-продажи имущества, подписывается Про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Аукцион признается несостоявшимся в следующих случаях: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было подано ни одной заявки на участие либо ни один из Претендентов не признан участником;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ни один из участников не сделал предложение о начальной цене имущества;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Решение о признан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несостоявшимся оформляется протоколом об итогах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r>
        <w:rPr>
          <w:b/>
          <w:bCs/>
          <w:color w:val="000000"/>
          <w:sz w:val="26"/>
          <w:szCs w:val="26"/>
        </w:rPr>
        <w:t xml:space="preserve">возвращается</w:t>
      </w:r>
      <w:r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  <w:r>
        <w:rPr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наименование имущества и иные позволяющие его индивидуализировать сведения;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цена сделки;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38" w:bottom="284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Helvetica">
    <w:panose1 w:val="020B0604020202020204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t xml:space="preserve">1</w:t>
      </w:r>
    </w:fldSimple>
    <w:r/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Calibri" w:hAnsi="Calibri" w:cs="Helvetica"/>
        <w:color w:val="auto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708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0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5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1"/>
  </w:num>
  <w:num w:numId="2">
    <w:abstractNumId w:val="22"/>
  </w:num>
  <w:num w:numId="3">
    <w:abstractNumId w:val="15"/>
  </w:num>
  <w:num w:numId="4">
    <w:abstractNumId w:val="20"/>
  </w:num>
  <w:num w:numId="5">
    <w:abstractNumId w:val="19"/>
  </w:num>
  <w:num w:numId="6">
    <w:abstractNumId w:val="21"/>
  </w:num>
  <w:num w:numId="7">
    <w:abstractNumId w:val="23"/>
  </w:num>
  <w:num w:numId="8">
    <w:abstractNumId w:val="25"/>
  </w:num>
  <w:num w:numId="9">
    <w:abstractNumId w:val="5"/>
  </w:num>
  <w:num w:numId="10">
    <w:abstractNumId w:val="1"/>
  </w:num>
  <w:num w:numId="11">
    <w:abstractNumId w:val="17"/>
  </w:num>
  <w:num w:numId="12">
    <w:abstractNumId w:val="8"/>
  </w:num>
  <w:num w:numId="13">
    <w:abstractNumId w:val="12"/>
  </w:num>
  <w:num w:numId="14">
    <w:abstractNumId w:val="24"/>
  </w:num>
  <w:num w:numId="15">
    <w:abstractNumId w:val="3"/>
  </w:num>
  <w:num w:numId="16">
    <w:abstractNumId w:val="16"/>
  </w:num>
  <w:num w:numId="17">
    <w:abstractNumId w:val="14"/>
  </w:num>
  <w:num w:numId="18">
    <w:abstractNumId w:val="18"/>
  </w:num>
  <w:num w:numId="19">
    <w:abstractNumId w:val="13"/>
  </w:num>
  <w:num w:numId="20">
    <w:abstractNumId w:val="2"/>
  </w:num>
  <w:num w:numId="21">
    <w:abstractNumId w:val="0"/>
  </w:num>
  <w:num w:numId="22">
    <w:abstractNumId w:val="6"/>
  </w:num>
  <w:num w:numId="23">
    <w:abstractNumId w:val="9"/>
  </w:num>
  <w:num w:numId="24">
    <w:abstractNumId w:val="4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Title Char"/>
    <w:basedOn w:val="723"/>
    <w:link w:val="908"/>
    <w:uiPriority w:val="10"/>
    <w:rPr>
      <w:sz w:val="48"/>
      <w:szCs w:val="48"/>
    </w:rPr>
  </w:style>
  <w:style w:type="character" w:styleId="727" w:customStyle="1">
    <w:name w:val="Quote Char"/>
    <w:link w:val="746"/>
    <w:uiPriority w:val="29"/>
    <w:rPr>
      <w:i/>
    </w:rPr>
  </w:style>
  <w:style w:type="character" w:styleId="728" w:customStyle="1">
    <w:name w:val="Intense Quote Char"/>
    <w:link w:val="748"/>
    <w:uiPriority w:val="30"/>
    <w:rPr>
      <w:i/>
    </w:rPr>
  </w:style>
  <w:style w:type="character" w:styleId="729" w:customStyle="1">
    <w:name w:val="Footnote Text Char"/>
    <w:link w:val="880"/>
    <w:uiPriority w:val="99"/>
    <w:rPr>
      <w:sz w:val="18"/>
    </w:rPr>
  </w:style>
  <w:style w:type="character" w:styleId="730" w:customStyle="1">
    <w:name w:val="Endnote Text Char"/>
    <w:link w:val="883"/>
    <w:uiPriority w:val="99"/>
    <w:rPr>
      <w:sz w:val="20"/>
    </w:rPr>
  </w:style>
  <w:style w:type="character" w:styleId="731" w:customStyle="1">
    <w:name w:val="Heading 1 Char"/>
    <w:basedOn w:val="723"/>
    <w:link w:val="89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3"/>
    <w:link w:val="89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3"/>
    <w:link w:val="899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3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3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22"/>
    <w:next w:val="722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3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3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3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Название Знак"/>
    <w:basedOn w:val="723"/>
    <w:link w:val="908"/>
    <w:uiPriority w:val="10"/>
    <w:rPr>
      <w:sz w:val="48"/>
      <w:szCs w:val="48"/>
    </w:rPr>
  </w:style>
  <w:style w:type="character" w:styleId="745" w:customStyle="1">
    <w:name w:val="Subtitle Char"/>
    <w:basedOn w:val="723"/>
    <w:link w:val="911"/>
    <w:uiPriority w:val="11"/>
    <w:rPr>
      <w:sz w:val="24"/>
      <w:szCs w:val="24"/>
    </w:rPr>
  </w:style>
  <w:style w:type="paragraph" w:styleId="746">
    <w:name w:val="Quote"/>
    <w:basedOn w:val="722"/>
    <w:next w:val="722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2"/>
    <w:next w:val="722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3"/>
    <w:link w:val="918"/>
    <w:uiPriority w:val="99"/>
  </w:style>
  <w:style w:type="character" w:styleId="751" w:customStyle="1">
    <w:name w:val="Footer Char"/>
    <w:basedOn w:val="723"/>
    <w:link w:val="920"/>
    <w:uiPriority w:val="99"/>
  </w:style>
  <w:style w:type="paragraph" w:styleId="752" w:customStyle="1">
    <w:name w:val="Caption"/>
    <w:basedOn w:val="722"/>
    <w:next w:val="722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basedOn w:val="723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2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2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2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2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1 Light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2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2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2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2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2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2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22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23"/>
    <w:uiPriority w:val="99"/>
    <w:unhideWhenUsed/>
    <w:rPr>
      <w:vertAlign w:val="superscript"/>
    </w:rPr>
  </w:style>
  <w:style w:type="paragraph" w:styleId="883">
    <w:name w:val="endnote text"/>
    <w:basedOn w:val="722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23"/>
    <w:uiPriority w:val="99"/>
    <w:semiHidden/>
    <w:unhideWhenUsed/>
    <w:rPr>
      <w:vertAlign w:val="superscript"/>
    </w:rPr>
  </w:style>
  <w:style w:type="paragraph" w:styleId="886">
    <w:name w:val="toc 1"/>
    <w:basedOn w:val="722"/>
    <w:next w:val="722"/>
    <w:uiPriority w:val="39"/>
    <w:unhideWhenUsed/>
    <w:pPr>
      <w:spacing w:after="57"/>
    </w:pPr>
  </w:style>
  <w:style w:type="paragraph" w:styleId="887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88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89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0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1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2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3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4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2"/>
    <w:next w:val="722"/>
    <w:uiPriority w:val="99"/>
    <w:unhideWhenUsed/>
  </w:style>
  <w:style w:type="paragraph" w:styleId="897" w:customStyle="1">
    <w:name w:val="Heading 1"/>
    <w:basedOn w:val="722"/>
    <w:next w:val="722"/>
    <w:link w:val="731"/>
    <w:qFormat/>
    <w:pPr>
      <w:jc w:val="center"/>
      <w:keepNext/>
      <w:outlineLvl w:val="0"/>
    </w:pPr>
    <w:rPr>
      <w:b/>
      <w:sz w:val="24"/>
    </w:rPr>
  </w:style>
  <w:style w:type="paragraph" w:styleId="898" w:customStyle="1">
    <w:name w:val="Heading 2"/>
    <w:basedOn w:val="722"/>
    <w:next w:val="722"/>
    <w:link w:val="732"/>
    <w:qFormat/>
    <w:pPr>
      <w:jc w:val="both"/>
      <w:keepNext/>
      <w:outlineLvl w:val="1"/>
    </w:pPr>
    <w:rPr>
      <w:sz w:val="24"/>
    </w:rPr>
  </w:style>
  <w:style w:type="paragraph" w:styleId="899" w:customStyle="1">
    <w:name w:val="Heading 3"/>
    <w:basedOn w:val="722"/>
    <w:next w:val="722"/>
    <w:link w:val="733"/>
    <w:qFormat/>
    <w:pPr>
      <w:ind w:left="426"/>
      <w:jc w:val="center"/>
      <w:keepNext/>
      <w:outlineLvl w:val="2"/>
    </w:pPr>
    <w:rPr>
      <w:b/>
      <w:bCs/>
      <w:sz w:val="24"/>
    </w:rPr>
  </w:style>
  <w:style w:type="paragraph" w:styleId="900" w:customStyle="1">
    <w:name w:val="Heading 4"/>
    <w:basedOn w:val="722"/>
    <w:next w:val="722"/>
    <w:link w:val="734"/>
    <w:qFormat/>
    <w:pPr>
      <w:jc w:val="center"/>
      <w:keepNext/>
      <w:outlineLvl w:val="3"/>
    </w:pPr>
    <w:rPr>
      <w:b/>
    </w:rPr>
  </w:style>
  <w:style w:type="paragraph" w:styleId="901" w:customStyle="1">
    <w:name w:val="Heading 5"/>
    <w:basedOn w:val="722"/>
    <w:next w:val="722"/>
    <w:link w:val="735"/>
    <w:qFormat/>
    <w:pPr>
      <w:jc w:val="center"/>
      <w:keepNext/>
      <w:outlineLvl w:val="4"/>
    </w:pPr>
    <w:rPr>
      <w:b/>
      <w:sz w:val="18"/>
    </w:rPr>
  </w:style>
  <w:style w:type="paragraph" w:styleId="902">
    <w:name w:val="Body Text"/>
    <w:basedOn w:val="722"/>
    <w:link w:val="928"/>
    <w:pPr>
      <w:jc w:val="both"/>
    </w:pPr>
  </w:style>
  <w:style w:type="paragraph" w:styleId="903">
    <w:name w:val="Body Text 2"/>
    <w:basedOn w:val="722"/>
    <w:link w:val="929"/>
    <w:pPr>
      <w:jc w:val="center"/>
    </w:pPr>
    <w:rPr>
      <w:sz w:val="18"/>
    </w:rPr>
  </w:style>
  <w:style w:type="paragraph" w:styleId="904">
    <w:name w:val="Body Text 3"/>
    <w:basedOn w:val="722"/>
    <w:pPr>
      <w:jc w:val="center"/>
    </w:pPr>
    <w:rPr>
      <w:b/>
      <w:sz w:val="18"/>
    </w:rPr>
  </w:style>
  <w:style w:type="paragraph" w:styleId="905">
    <w:name w:val="Body Text Indent"/>
    <w:basedOn w:val="722"/>
    <w:pPr>
      <w:ind w:firstLine="426"/>
      <w:jc w:val="both"/>
      <w:widowControl w:val="off"/>
    </w:pPr>
    <w:rPr>
      <w:sz w:val="24"/>
    </w:rPr>
  </w:style>
  <w:style w:type="paragraph" w:styleId="906" w:customStyle="1">
    <w:name w:val="Основной текст с отступом 21"/>
    <w:basedOn w:val="722"/>
    <w:pPr>
      <w:ind w:firstLine="426"/>
      <w:widowControl w:val="off"/>
    </w:pPr>
    <w:rPr>
      <w:sz w:val="24"/>
    </w:rPr>
  </w:style>
  <w:style w:type="paragraph" w:styleId="907">
    <w:name w:val="Body Text Indent 2"/>
    <w:basedOn w:val="722"/>
    <w:link w:val="932"/>
    <w:pPr>
      <w:ind w:left="66" w:firstLine="360"/>
      <w:jc w:val="both"/>
    </w:pPr>
    <w:rPr>
      <w:sz w:val="24"/>
    </w:rPr>
  </w:style>
  <w:style w:type="paragraph" w:styleId="908">
    <w:name w:val="Title"/>
    <w:basedOn w:val="722"/>
    <w:link w:val="744"/>
    <w:qFormat/>
    <w:pPr>
      <w:jc w:val="center"/>
    </w:pPr>
    <w:rPr>
      <w:b/>
      <w:sz w:val="28"/>
      <w:u w:val="single"/>
    </w:rPr>
  </w:style>
  <w:style w:type="paragraph" w:styleId="909" w:customStyle="1">
    <w:name w:val="Основной текст с отступом 31"/>
    <w:basedOn w:val="722"/>
    <w:pPr>
      <w:ind w:firstLine="360"/>
      <w:jc w:val="both"/>
      <w:widowControl w:val="off"/>
    </w:pPr>
    <w:rPr>
      <w:sz w:val="24"/>
    </w:rPr>
  </w:style>
  <w:style w:type="paragraph" w:styleId="910">
    <w:name w:val="Balloon Text"/>
    <w:basedOn w:val="722"/>
    <w:semiHidden/>
    <w:rPr>
      <w:rFonts w:ascii="Tahoma" w:hAnsi="Tahoma" w:cs="Tahoma"/>
      <w:sz w:val="16"/>
      <w:szCs w:val="16"/>
    </w:rPr>
  </w:style>
  <w:style w:type="paragraph" w:styleId="911">
    <w:name w:val="Subtitle"/>
    <w:basedOn w:val="722"/>
    <w:link w:val="913"/>
    <w:qFormat/>
    <w:pPr>
      <w:jc w:val="both"/>
    </w:pPr>
    <w:rPr>
      <w:sz w:val="24"/>
    </w:rPr>
  </w:style>
  <w:style w:type="character" w:styleId="912">
    <w:name w:val="Hyperlink"/>
    <w:basedOn w:val="723"/>
    <w:rPr>
      <w:color w:val="0000ff"/>
      <w:u w:val="single"/>
    </w:rPr>
  </w:style>
  <w:style w:type="character" w:styleId="913" w:customStyle="1">
    <w:name w:val="Подзаголовок Знак"/>
    <w:basedOn w:val="723"/>
    <w:link w:val="911"/>
    <w:rPr>
      <w:sz w:val="24"/>
      <w:lang w:val="ru-RU" w:eastAsia="ru-RU" w:bidi="ar-SA"/>
    </w:rPr>
  </w:style>
  <w:style w:type="paragraph" w:styleId="914">
    <w:name w:val="Body Text Indent 3"/>
    <w:basedOn w:val="722"/>
    <w:pPr>
      <w:ind w:left="283"/>
      <w:spacing w:after="120"/>
    </w:pPr>
    <w:rPr>
      <w:sz w:val="16"/>
      <w:szCs w:val="16"/>
    </w:rPr>
  </w:style>
  <w:style w:type="paragraph" w:styleId="915" w:customStyle="1">
    <w:name w:val="Знак2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6" w:customStyle="1">
    <w:name w:val="ConsPlusNormal"/>
    <w:rPr>
      <w:sz w:val="24"/>
      <w:szCs w:val="24"/>
    </w:rPr>
  </w:style>
  <w:style w:type="paragraph" w:styleId="917" w:customStyle="1">
    <w:name w:val="Знак21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8" w:customStyle="1">
    <w:name w:val="Header"/>
    <w:basedOn w:val="722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23"/>
    <w:link w:val="918"/>
    <w:uiPriority w:val="99"/>
  </w:style>
  <w:style w:type="paragraph" w:styleId="920" w:customStyle="1">
    <w:name w:val="Footer"/>
    <w:basedOn w:val="722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23"/>
    <w:link w:val="920"/>
  </w:style>
  <w:style w:type="character" w:styleId="922">
    <w:name w:val="FollowedHyperlink"/>
    <w:basedOn w:val="723"/>
    <w:rPr>
      <w:color w:val="800080"/>
      <w:u w:val="single"/>
    </w:rPr>
  </w:style>
  <w:style w:type="paragraph" w:styleId="923" w:customStyle="1">
    <w:name w:val="rezul"/>
    <w:basedOn w:val="722"/>
    <w:pPr>
      <w:ind w:firstLine="283"/>
      <w:jc w:val="both"/>
      <w:widowControl w:val="off"/>
    </w:pPr>
    <w:rPr>
      <w:b/>
      <w:sz w:val="22"/>
      <w:lang w:val="en-US" w:eastAsia="en-US"/>
    </w:rPr>
  </w:style>
  <w:style w:type="paragraph" w:styleId="924" w:customStyle="1">
    <w:name w:val="TextBoldCenter"/>
    <w:basedOn w:val="722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925">
    <w:name w:val="No Spacing"/>
    <w:link w:val="926"/>
    <w:qFormat/>
    <w:rPr>
      <w:rFonts w:ascii="Calibri" w:hAnsi="Calibri"/>
      <w:sz w:val="22"/>
      <w:szCs w:val="22"/>
      <w:lang w:eastAsia="en-US"/>
    </w:rPr>
  </w:style>
  <w:style w:type="character" w:styleId="926" w:customStyle="1">
    <w:name w:val="Без интервала Знак"/>
    <w:link w:val="925"/>
    <w:rPr>
      <w:rFonts w:ascii="Calibri" w:hAnsi="Calibri"/>
      <w:sz w:val="22"/>
      <w:szCs w:val="22"/>
      <w:lang w:eastAsia="en-US" w:bidi="ar-SA"/>
    </w:rPr>
  </w:style>
  <w:style w:type="paragraph" w:styleId="927" w:customStyle="1">
    <w:name w:val="Таблицы (моноширинный)"/>
    <w:basedOn w:val="722"/>
    <w:next w:val="722"/>
    <w:pPr>
      <w:jc w:val="both"/>
    </w:pPr>
    <w:rPr>
      <w:rFonts w:ascii="Courier New" w:hAnsi="Courier New" w:cs="Courier New"/>
    </w:rPr>
  </w:style>
  <w:style w:type="character" w:styleId="928" w:customStyle="1">
    <w:name w:val="Основной текст Знак"/>
    <w:basedOn w:val="723"/>
    <w:link w:val="902"/>
  </w:style>
  <w:style w:type="character" w:styleId="929" w:customStyle="1">
    <w:name w:val="Основной текст 2 Знак"/>
    <w:basedOn w:val="723"/>
    <w:link w:val="903"/>
    <w:rPr>
      <w:sz w:val="18"/>
    </w:rPr>
  </w:style>
  <w:style w:type="paragraph" w:styleId="930">
    <w:name w:val="List Paragraph"/>
    <w:basedOn w:val="722"/>
    <w:uiPriority w:val="99"/>
    <w:qFormat/>
    <w:pPr>
      <w:ind w:left="121" w:right="130" w:firstLine="706"/>
      <w:jc w:val="both"/>
      <w:widowControl w:val="off"/>
    </w:pPr>
    <w:rPr>
      <w:sz w:val="22"/>
      <w:szCs w:val="22"/>
      <w:lang w:bidi="ru-RU"/>
    </w:rPr>
  </w:style>
  <w:style w:type="character" w:styleId="931" w:customStyle="1">
    <w:name w:val="Body text (2)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2" w:customStyle="1">
    <w:name w:val="Основной текст с отступом 2 Знак"/>
    <w:basedOn w:val="723"/>
    <w:link w:val="907"/>
    <w:rPr>
      <w:sz w:val="24"/>
    </w:rPr>
  </w:style>
  <w:style w:type="character" w:styleId="933" w:customStyle="1">
    <w:name w:val="Body text (2) + 11 pt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4" w:customStyle="1">
    <w:name w:val="First Paragraph"/>
    <w:basedOn w:val="902"/>
    <w:next w:val="902"/>
    <w:qFormat/>
    <w:pPr>
      <w:jc w:val="left"/>
      <w:spacing w:before="180" w:after="18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5" w:customStyle="1">
    <w:name w:val="Compact"/>
    <w:basedOn w:val="902"/>
    <w:qFormat/>
    <w:pPr>
      <w:jc w:val="left"/>
      <w:spacing w:before="36" w:after="36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6" w:customStyle="1">
    <w:name w:val="Default"/>
    <w:rPr>
      <w:color w:val="000000"/>
      <w:sz w:val="24"/>
      <w:szCs w:val="24"/>
    </w:rPr>
  </w:style>
  <w:style w:type="paragraph" w:styleId="937" w:customStyle="1">
    <w:name w:val="Обычный (веб)1"/>
    <w:uiPriority w:val="99"/>
    <w:unhideWhenUsed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4A189-E975-4673-8C7A-91F5B2A8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4</cp:revision>
  <dcterms:created xsi:type="dcterms:W3CDTF">2026-02-13T15:12:00Z</dcterms:created>
  <dcterms:modified xsi:type="dcterms:W3CDTF">2026-02-19T06:09:38Z</dcterms:modified>
</cp:coreProperties>
</file>