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07/2026 о проведении</w:t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20 апреля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городской округ город Нижний Новгород,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</w:t>
      </w:r>
      <w:r>
        <w:rPr>
          <w:color w:val="000000"/>
          <w:sz w:val="26"/>
          <w:szCs w:val="26"/>
        </w:rPr>
        <w:t xml:space="preserve">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</w:t>
      </w:r>
      <w:r>
        <w:rPr>
          <w:color w:val="000000"/>
          <w:sz w:val="26"/>
          <w:szCs w:val="26"/>
        </w:rPr>
        <w:t xml:space="preserve">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r>
        <w:rPr>
          <w:color w:val="000000"/>
          <w:sz w:val="26"/>
          <w:szCs w:val="26"/>
        </w:rPr>
        <w:t xml:space="preserve"> форме», на основан</w:t>
      </w:r>
      <w:r>
        <w:rPr>
          <w:color w:val="000000"/>
          <w:sz w:val="26"/>
          <w:szCs w:val="26"/>
        </w:rPr>
        <w:t xml:space="preserve">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850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2093"/>
        <w:gridCol w:w="2443"/>
        <w:gridCol w:w="932"/>
        <w:gridCol w:w="815"/>
        <w:gridCol w:w="699"/>
        <w:gridCol w:w="2056"/>
        <w:gridCol w:w="1143"/>
        <w:gridCol w:w="1193"/>
        <w:gridCol w:w="1134"/>
        <w:gridCol w:w="932"/>
        <w:gridCol w:w="932"/>
        <w:gridCol w:w="932"/>
      </w:tblGrid>
      <w:tr>
        <w:tblPrEx/>
        <w:trPr>
          <w:jc w:val="center"/>
          <w:trHeight w:val="1665"/>
        </w:trPr>
        <w:tc>
          <w:tcPr>
            <w:shd w:val="clear" w:color="auto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</w:rPr>
              <w:t xml:space="preserve">(руб.)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Площадь земельного участка, кв</w:t>
            </w:r>
            <w:r>
              <w:rPr>
                <w:bCs/>
                <w:sz w:val="22"/>
                <w:szCs w:val="22"/>
              </w:rPr>
              <w:t xml:space="preserve">.м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Кадастровый номер земельного участка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Стоимость земельного участка (руб.) (НДС не облагается)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(этаж № подвал)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Канавинский район, ул.Литературная, д.19,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52:18:0030177:795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721,5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подвале пятиэтажного жилого дома. Имеются два отдельных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19 985 550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1 998 555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999 277,5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обл., 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Автозаводский район,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Ильича, д.34А,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52:18:0040239:155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188,8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четырехэтажного жилого дома. Вход отдельный со двора дома.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4 720 000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472 000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236 000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2014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Героя Чугунова,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ВП5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52:18:0050238:972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437  030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43 703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21 851,5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691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</w:t>
            </w:r>
            <w:r>
              <w:rPr>
                <w:sz w:val="22"/>
                <w:szCs w:val="22"/>
              </w:rPr>
              <w:t xml:space="preserve">г</w:t>
            </w:r>
            <w:r>
              <w:rPr>
                <w:sz w:val="22"/>
                <w:szCs w:val="22"/>
              </w:rPr>
              <w:t xml:space="preserve">. Нижний Новгород, Ленинский р-н, ул. Героя Чугунова,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П100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52:18:0050238:5785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408 320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40 832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20 416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94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 Нижний Новгород, р-н Ленинский, ул. Героя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Чугунова, д.5,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П101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52:18:0050238:5786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497 640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49 764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24 882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807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 Нижний Новгород, р-н Ленинский, ул. Героя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Чугунова, д.5,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. П102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52:18:0050238:5787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трехэтажного жилого дома. Вход совместный.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357 280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35 728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17 864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974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r>
              <w:rPr>
                <w:sz w:val="22"/>
                <w:szCs w:val="22"/>
              </w:rPr>
              <w:t xml:space="preserve">Приокский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</w:rPr>
              <w:t xml:space="preserve"> Цветочная ,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 1,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52:18:0070036:299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подвале пятиэтажного жилого дома. Имеются два отдельных входа.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4 690 560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469 056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234 528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-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917"/>
        </w:trPr>
        <w:tc>
          <w:tcPr>
            <w:shd w:val="clear" w:color="ffffff" w:fill="ffffff"/>
            <w:tcW w:w="54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(здание мини-завода по переработке 3-х т. молока) (количество этажей: 1, в том числе подземных 0)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4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муниципальный округ </w:t>
            </w:r>
            <w:r>
              <w:rPr>
                <w:sz w:val="22"/>
                <w:szCs w:val="22"/>
              </w:rPr>
              <w:t xml:space="preserve">Ковернинский</w:t>
            </w:r>
            <w:r>
              <w:rPr>
                <w:sz w:val="22"/>
                <w:szCs w:val="22"/>
              </w:rPr>
              <w:t xml:space="preserve">, деревня </w:t>
            </w:r>
            <w:r>
              <w:rPr>
                <w:sz w:val="22"/>
                <w:szCs w:val="22"/>
              </w:rPr>
              <w:t xml:space="preserve">Семино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Советская, строение 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52:08:0011708:939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1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201,6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69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05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отдельно стоящее одноэтажное здание. Имеются 2 входа. 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4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2 159 040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9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215 904 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107 952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52:08:0011708:311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3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rStyle w:val="931"/>
                <w:b/>
                <w:color w:val="auto"/>
                <w:sz w:val="22"/>
                <w:szCs w:val="22"/>
              </w:rPr>
              <w:t xml:space="preserve">257 600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1-7: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№ 8</w:t>
      </w:r>
      <w:r>
        <w:rPr>
          <w:b/>
          <w:sz w:val="26"/>
          <w:szCs w:val="26"/>
        </w:rPr>
        <w:t xml:space="preserve">: в соответствии со ст. 28 Федерального Закона</w:t>
      </w:r>
      <w:r>
        <w:rPr>
          <w:b/>
          <w:sz w:val="26"/>
          <w:szCs w:val="26"/>
        </w:rPr>
        <w:t xml:space="preserve"> «О приватизации государственного и муниципального имущества» № 178-ФЗ от 21.12.2001 приватизация зданий, строений и сооружений осуществляется одновременно с отчуждением лицу, приобретающему такое имущество, земельных участков, занимаемых таким имуществом.</w:t>
      </w:r>
      <w:r>
        <w:rPr>
          <w:b/>
          <w:bCs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Объект недвижимости расположен на земельном участке с кадастровым номером </w:t>
      </w:r>
      <w:r>
        <w:rPr>
          <w:b/>
          <w:bCs/>
          <w:sz w:val="26"/>
          <w:szCs w:val="26"/>
        </w:rPr>
        <w:t xml:space="preserve">52:08:0011708:311</w:t>
      </w:r>
      <w:r>
        <w:rPr>
          <w:b/>
          <w:sz w:val="26"/>
          <w:szCs w:val="26"/>
        </w:rPr>
        <w:t xml:space="preserve">, площадь </w:t>
      </w:r>
      <w:r>
        <w:rPr>
          <w:b/>
          <w:sz w:val="26"/>
          <w:szCs w:val="26"/>
        </w:rPr>
        <w:br/>
        <w:t xml:space="preserve">800 кв</w:t>
      </w:r>
      <w:r>
        <w:rPr>
          <w:b/>
          <w:sz w:val="26"/>
          <w:szCs w:val="26"/>
        </w:rPr>
        <w:t xml:space="preserve">.м</w:t>
      </w:r>
      <w:r>
        <w:rPr>
          <w:b/>
          <w:sz w:val="26"/>
          <w:szCs w:val="26"/>
        </w:rPr>
        <w:t xml:space="preserve">, категория земель: земли населенных пунктов, виды разрешенного использования: д</w:t>
      </w:r>
      <w:r>
        <w:rPr>
          <w:b/>
          <w:sz w:val="26"/>
          <w:szCs w:val="26"/>
        </w:rPr>
        <w:t xml:space="preserve">ля обслуживания и эксплуатации мини завода по переработке молока</w:t>
      </w:r>
      <w:r>
        <w:rPr>
          <w:b/>
          <w:sz w:val="26"/>
          <w:szCs w:val="26"/>
        </w:rPr>
        <w:t xml:space="preserve">. Стоимость земельного участка в размере </w:t>
      </w:r>
      <w:r>
        <w:rPr>
          <w:b/>
          <w:sz w:val="26"/>
          <w:szCs w:val="26"/>
        </w:rPr>
        <w:t xml:space="preserve">257 600</w:t>
      </w:r>
      <w:r>
        <w:rPr>
          <w:b/>
          <w:sz w:val="26"/>
          <w:szCs w:val="26"/>
        </w:rPr>
        <w:t xml:space="preserve"> (двести пятьдесят семь тысяч шестьсот) рублей оплачивается единовременным платежом победителем торгов либо лицом, признанным единственным участником торгов, по договору купли-продажи муниципального имущества в течение 15 календарных дней </w:t>
      </w:r>
      <w:r>
        <w:rPr>
          <w:b/>
          <w:sz w:val="26"/>
          <w:szCs w:val="26"/>
        </w:rPr>
        <w:t xml:space="preserve">с даты заключения</w:t>
      </w:r>
      <w:r>
        <w:rPr>
          <w:b/>
          <w:sz w:val="26"/>
          <w:szCs w:val="26"/>
        </w:rPr>
        <w:t xml:space="preserve"> договора купли-продажи.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</w:t>
      </w:r>
      <w:r>
        <w:rPr>
          <w:b/>
          <w:sz w:val="26"/>
          <w:szCs w:val="26"/>
        </w:rPr>
        <w:t xml:space="preserve">словием договора купли-продажи объекта является обязательство покупателя при и</w:t>
      </w:r>
      <w:r>
        <w:rPr>
          <w:b/>
          <w:sz w:val="26"/>
          <w:szCs w:val="26"/>
        </w:rPr>
        <w:t xml:space="preserve">спользовании земельного участка 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регламентами.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  <w:highlight w:val="yellow"/>
        </w:rPr>
      </w:pPr>
      <w:r>
        <w:rPr>
          <w:b/>
          <w:sz w:val="26"/>
          <w:szCs w:val="26"/>
          <w:highlight w:val="yellow"/>
        </w:rPr>
      </w:r>
      <w:r>
        <w:rPr>
          <w:b/>
          <w:sz w:val="26"/>
          <w:szCs w:val="26"/>
          <w:highlight w:val="yellow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28.01.2026 № 26 и постановлением администрации города Нижнего Новгорода</w:t>
      </w:r>
      <w:r>
        <w:rPr>
          <w:sz w:val="26"/>
          <w:szCs w:val="26"/>
        </w:rPr>
        <w:t xml:space="preserve"> от 20.02.2026 № 1476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 </w:t>
      </w:r>
      <w:r>
        <w:rPr>
          <w:color w:val="000000"/>
          <w:sz w:val="26"/>
          <w:szCs w:val="26"/>
        </w:rPr>
        <w:t xml:space="preserve">от 10.06.2025 №5431379, от 21.07.2025 №5443871 </w:t>
      </w:r>
      <w:r>
        <w:rPr>
          <w:sz w:val="26"/>
          <w:szCs w:val="26"/>
        </w:rPr>
        <w:t xml:space="preserve"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</w:rPr>
        <w:t xml:space="preserve">от 19.03.2025 № 5408353, </w:t>
      </w:r>
      <w:r>
        <w:rPr>
          <w:color w:val="000000"/>
          <w:sz w:val="26"/>
          <w:szCs w:val="26"/>
          <w:lang w:bidi="ru-RU"/>
        </w:rPr>
        <w:t xml:space="preserve">от 06.11.2025 № 5473633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pStyle w:val="90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По лоту № 2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28.01.2026 № 26 и постановлением админис</w:t>
      </w:r>
      <w:r>
        <w:rPr>
          <w:sz w:val="26"/>
          <w:szCs w:val="26"/>
        </w:rPr>
        <w:t xml:space="preserve">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 </w:t>
      </w:r>
      <w:r>
        <w:rPr>
          <w:color w:val="000000"/>
          <w:sz w:val="26"/>
          <w:szCs w:val="26"/>
        </w:rPr>
        <w:t xml:space="preserve">от 10.06.2025 №5431379, от 21.07.2025 №5443871 </w:t>
      </w:r>
      <w:r>
        <w:rPr>
          <w:sz w:val="26"/>
          <w:szCs w:val="26"/>
        </w:rPr>
        <w:t xml:space="preserve"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u w:val="single"/>
          <w:lang w:bidi="ru-RU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  <w:lang w:bidi="ru-RU"/>
        </w:rPr>
        <w:t xml:space="preserve">от 31.03.2025 № 5411567, от 06.11.2025 № 5473633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  <w:u w:val="single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3-7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28.01.2026 № 26 и постановлением админис</w:t>
      </w:r>
      <w:r>
        <w:rPr>
          <w:sz w:val="26"/>
          <w:szCs w:val="26"/>
        </w:rPr>
        <w:t xml:space="preserve">трации города Нижнего Новгорода от 20.02.2026 № 1476.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06.11.2025 № 5473633 </w:t>
      </w:r>
      <w:r>
        <w:rPr>
          <w:sz w:val="26"/>
          <w:szCs w:val="26"/>
        </w:rPr>
        <w:t xml:space="preserve">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  <w:lang w:bidi="ru-RU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</w:t>
      </w:r>
      <w:r>
        <w:rPr>
          <w:color w:val="000000"/>
          <w:sz w:val="26"/>
          <w:szCs w:val="26"/>
          <w:u w:val="single"/>
          <w:lang w:bidi="ru-RU"/>
        </w:rPr>
        <w:t xml:space="preserve"> </w:t>
      </w:r>
      <w:r>
        <w:rPr>
          <w:color w:val="000000"/>
          <w:sz w:val="26"/>
          <w:szCs w:val="26"/>
          <w:u w:val="single"/>
          <w:lang w:bidi="ru-RU"/>
        </w:rPr>
        <w:t xml:space="preserve">8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28.01.2026 № 26 и постановлением админис</w:t>
      </w:r>
      <w:r>
        <w:rPr>
          <w:color w:val="000000"/>
          <w:sz w:val="26"/>
          <w:szCs w:val="26"/>
        </w:rPr>
        <w:t xml:space="preserve">трации города Нижнего Новгорода </w:t>
      </w:r>
      <w:r>
        <w:rPr>
          <w:sz w:val="26"/>
          <w:szCs w:val="26"/>
        </w:rPr>
        <w:t xml:space="preserve">от 20.02.2026 № 1476.</w:t>
      </w:r>
      <w:r>
        <w:rPr>
          <w:color w:val="000000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22.10.2025 № 5469821 </w:t>
      </w:r>
      <w:r>
        <w:rPr>
          <w:sz w:val="26"/>
          <w:szCs w:val="26"/>
        </w:rPr>
        <w:t xml:space="preserve">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27.02.2026 в 15:00.</w:t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16.04.2026 в 15:00.</w:t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16.04.2026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17.04.2026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20.04.2026 в 09:30.</w:t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ответственность за подлинно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</w:t>
      </w:r>
      <w:r>
        <w:rPr>
          <w:b w:val="0"/>
          <w:color w:val="000000"/>
        </w:rPr>
        <w:t xml:space="preserve">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</w:t>
      </w:r>
      <w:r>
        <w:rPr>
          <w:rFonts w:eastAsia="Calibri"/>
          <w:color w:val="000000"/>
          <w:sz w:val="26"/>
          <w:szCs w:val="26"/>
        </w:rPr>
        <w:t xml:space="preserve">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</w:t>
      </w:r>
      <w:r>
        <w:rPr>
          <w:rFonts w:eastAsia="Calibri"/>
          <w:color w:val="000000"/>
          <w:sz w:val="26"/>
          <w:szCs w:val="26"/>
        </w:rPr>
        <w:t xml:space="preserve">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участника о цене имущества не может быть принято в связи с подачей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993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2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24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5"/>
  </w:num>
  <w:num w:numId="5">
    <w:abstractNumId w:val="21"/>
  </w:num>
  <w:num w:numId="6">
    <w:abstractNumId w:val="7"/>
  </w:num>
  <w:num w:numId="7">
    <w:abstractNumId w:val="24"/>
  </w:num>
  <w:num w:numId="8">
    <w:abstractNumId w:val="4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12"/>
  </w:num>
  <w:num w:numId="14">
    <w:abstractNumId w:val="19"/>
  </w:num>
  <w:num w:numId="15">
    <w:abstractNumId w:val="1"/>
  </w:num>
  <w:num w:numId="16">
    <w:abstractNumId w:val="9"/>
  </w:num>
  <w:num w:numId="17">
    <w:abstractNumId w:val="8"/>
  </w:num>
  <w:num w:numId="18">
    <w:abstractNumId w:val="0"/>
  </w:num>
  <w:num w:numId="19">
    <w:abstractNumId w:val="20"/>
  </w:num>
  <w:num w:numId="20">
    <w:abstractNumId w:val="22"/>
  </w:num>
  <w:num w:numId="21">
    <w:abstractNumId w:val="25"/>
  </w:num>
  <w:num w:numId="22">
    <w:abstractNumId w:val="17"/>
  </w:num>
  <w:num w:numId="23">
    <w:abstractNumId w:val="23"/>
  </w:num>
  <w:num w:numId="24">
    <w:abstractNumId w:val="18"/>
  </w:num>
  <w:num w:numId="25">
    <w:abstractNumId w:val="1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003F0-77FD-4698-92B0-F0274517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30</cp:revision>
  <dcterms:created xsi:type="dcterms:W3CDTF">2025-12-15T08:14:00Z</dcterms:created>
  <dcterms:modified xsi:type="dcterms:W3CDTF">2026-02-26T06:24:00Z</dcterms:modified>
</cp:coreProperties>
</file>