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10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23 апреля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850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541"/>
        <w:gridCol w:w="2966"/>
        <w:gridCol w:w="1132"/>
        <w:gridCol w:w="990"/>
        <w:gridCol w:w="849"/>
        <w:gridCol w:w="2496"/>
        <w:gridCol w:w="1388"/>
        <w:gridCol w:w="1449"/>
        <w:gridCol w:w="1377"/>
      </w:tblGrid>
      <w:tr>
        <w:tblPrEx/>
        <w:trPr>
          <w:jc w:val="center"/>
          <w:trHeight w:val="1665"/>
        </w:trPr>
        <w:tc>
          <w:tcPr>
            <w:shd w:val="clear" w:color="auto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3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3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1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Канавинский,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Тираспольская,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21,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52:18:0030182:94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двухэтажного жилого дома. Имеются два отдельных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12 658 626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265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862,6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632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931,3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2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Канавинский,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52:18:0030186:79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5 762 650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576 265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288 132,5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3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район Канавинский,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52:18:0030186:81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619 970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61 997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30 998,5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691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4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район Канавинский,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52:18:0030186:80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593 138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59 313,8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29 656,9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89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5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Канавинский,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Витебская,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48, П.42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52:18:0030111:30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3 841 230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384 123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192 061,5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894"/>
        </w:trPr>
        <w:tc>
          <w:tcPr>
            <w:shd w:val="clear" w:color="ffffff" w:fill="ffffff"/>
            <w:tcW w:w="66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6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Нежилое встроенное помещение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(подвал № 1)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 xml:space="preserve">Нижегородская обл</w:t>
            </w:r>
            <w:r>
              <w:rPr>
                <w:sz w:val="22"/>
                <w:szCs w:val="22"/>
              </w:rPr>
              <w:t xml:space="preserve">асть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г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Нижний Новгород,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р-н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Ленинский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,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пр-кт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 Ленина,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д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58А, 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пом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 ВП</w:t>
            </w:r>
            <w:r>
              <w:rPr>
                <w:rStyle w:val="931"/>
                <w:sz w:val="22"/>
                <w:szCs w:val="22"/>
                <w:lang w:eastAsia="en-US" w:bidi="en-US"/>
              </w:rPr>
              <w:t xml:space="preserve">4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52:18:0050248:125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99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53,6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1957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Нежилое помещение расположено в подвале пятиэтажного жилого дома. Вход совместный рядом с подъездом № 3.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bCs/>
                <w:sz w:val="22"/>
                <w:szCs w:val="22"/>
                <w:lang w:eastAsia="en-US" w:bidi="en-US"/>
              </w:rPr>
              <w:t xml:space="preserve">1 504 016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bCs/>
                <w:sz w:val="22"/>
                <w:szCs w:val="22"/>
                <w:lang w:eastAsia="en-US" w:bidi="en-US"/>
              </w:rPr>
              <w:t xml:space="preserve">150 401,6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bCs/>
                <w:sz w:val="22"/>
                <w:szCs w:val="22"/>
                <w:lang w:eastAsia="en-US" w:bidi="en-US"/>
              </w:rPr>
              <w:t xml:space="preserve">75 200,8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1-6: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1-5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Аукционы от 09.06.2025 № 5428965, от 28.07.2025 №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5445875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color w:val="000000"/>
          <w:sz w:val="26"/>
          <w:szCs w:val="26"/>
          <w:lang w:bidi="ru-RU"/>
        </w:rPr>
      </w:r>
    </w:p>
    <w:p>
      <w:pPr>
        <w:pStyle w:val="90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По лоту № 6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sz w:val="26"/>
          <w:szCs w:val="26"/>
        </w:rPr>
        <w:t xml:space="preserve">Продажи посредством публичного предложения от 17.03.2025 №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5407452, от 30.04.2025 №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5420391 </w:t>
      </w:r>
      <w:r>
        <w:rPr>
          <w:sz w:val="26"/>
          <w:szCs w:val="26"/>
        </w:rPr>
        <w:t xml:space="preserve"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rFonts w:ascii="Arial" w:hAnsi="Arial" w:cs="Arial"/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26.08.2025 № 5447988 </w:t>
      </w:r>
      <w:r>
        <w:rPr>
          <w:sz w:val="26"/>
          <w:szCs w:val="26"/>
        </w:rPr>
        <w:t xml:space="preserve">по продаже не состоялся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06.03.2026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20.04.2026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20</w:t>
      </w:r>
      <w:r>
        <w:rPr>
          <w:sz w:val="26"/>
          <w:szCs w:val="26"/>
        </w:rPr>
        <w:t xml:space="preserve">.04.2026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22</w:t>
      </w:r>
      <w:r>
        <w:rPr>
          <w:rFonts w:eastAsia="Calibri"/>
          <w:sz w:val="26"/>
          <w:szCs w:val="26"/>
        </w:rPr>
        <w:t xml:space="preserve">.04.2026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23.04.2026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993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8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1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0"/>
  </w:num>
  <w:num w:numId="5">
    <w:abstractNumId w:val="20"/>
  </w:num>
  <w:num w:numId="6">
    <w:abstractNumId w:val="19"/>
  </w:num>
  <w:num w:numId="7">
    <w:abstractNumId w:val="25"/>
  </w:num>
  <w:num w:numId="8">
    <w:abstractNumId w:val="18"/>
  </w:num>
  <w:num w:numId="9">
    <w:abstractNumId w:val="3"/>
  </w:num>
  <w:num w:numId="10">
    <w:abstractNumId w:val="4"/>
  </w:num>
  <w:num w:numId="11">
    <w:abstractNumId w:val="24"/>
  </w:num>
  <w:num w:numId="12">
    <w:abstractNumId w:val="12"/>
  </w:num>
  <w:num w:numId="13">
    <w:abstractNumId w:val="21"/>
  </w:num>
  <w:num w:numId="14">
    <w:abstractNumId w:val="14"/>
  </w:num>
  <w:num w:numId="15">
    <w:abstractNumId w:val="17"/>
  </w:num>
  <w:num w:numId="16">
    <w:abstractNumId w:val="5"/>
  </w:num>
  <w:num w:numId="17">
    <w:abstractNumId w:val="8"/>
  </w:num>
  <w:num w:numId="18">
    <w:abstractNumId w:val="6"/>
  </w:num>
  <w:num w:numId="19">
    <w:abstractNumId w:val="11"/>
  </w:num>
  <w:num w:numId="20">
    <w:abstractNumId w:val="16"/>
  </w:num>
  <w:num w:numId="21">
    <w:abstractNumId w:val="7"/>
  </w:num>
  <w:num w:numId="22">
    <w:abstractNumId w:val="22"/>
  </w:num>
  <w:num w:numId="23">
    <w:abstractNumId w:val="0"/>
  </w:num>
  <w:num w:numId="24">
    <w:abstractNumId w:val="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5F77D-B21C-44E1-A35F-BE4DEA5E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37</cp:revision>
  <dcterms:created xsi:type="dcterms:W3CDTF">2025-12-15T08:14:00Z</dcterms:created>
  <dcterms:modified xsi:type="dcterms:W3CDTF">2026-03-05T06:08:06Z</dcterms:modified>
</cp:coreProperties>
</file>