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tabs>
          <w:tab w:val="left" w:pos="360" w:leader="none"/>
        </w:tabs>
        <w:ind w:firstLine="56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:0060252</w:t>
      </w:r>
      <w:r>
        <w:rPr>
          <w:color w:val="000000"/>
          <w:sz w:val="28"/>
          <w:szCs w:val="28"/>
        </w:rPr>
        <w:t xml:space="preserve">:1511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г. Нижний Новгород, слобода Александровская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709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firstLine="709"/>
        <w:jc w:val="both"/>
      </w:pPr>
      <w:r>
        <w:rPr>
          <w:sz w:val="28"/>
          <w:szCs w:val="28"/>
        </w:rPr>
        <w:t xml:space="preserve">- з</w:t>
      </w:r>
      <w:r>
        <w:rPr>
          <w:sz w:val="28"/>
          <w:szCs w:val="28"/>
        </w:rPr>
        <w:t xml:space="preserve">оны объектов </w:t>
      </w:r>
      <w:r>
        <w:rPr>
          <w:sz w:val="28"/>
          <w:szCs w:val="28"/>
        </w:rPr>
        <w:t xml:space="preserve">искусственных сооружений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сооружений инженерной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защиты города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</w:t>
      </w:r>
      <w:r>
        <w:rPr>
          <w:sz w:val="28"/>
          <w:szCs w:val="28"/>
        </w:rPr>
        <w:t xml:space="preserve">анитарно - защитной полосы водопровода по обе стороны от крайних линий водопровода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widowControl w:val="off"/>
        <w:suppressLineNumbers w:val="0"/>
        <w:ind w:firstLine="540"/>
        <w:contextualSpacing w:val="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слобода Александровская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5.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/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6.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:0060252</w:t>
      </w:r>
      <w:r>
        <w:rPr>
          <w:color w:val="000000"/>
          <w:sz w:val="28"/>
          <w:szCs w:val="28"/>
        </w:rPr>
        <w:t xml:space="preserve">:1511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г. Нижний Новгород, слобода Александровская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709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right" w:y="1"/>
      <w:rPr>
        <w:rStyle w:val="879"/>
      </w:rPr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keepNext/>
      <w:ind w:left="540"/>
      <w:jc w:val="both"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widowControl w:val="off"/>
      <w:ind w:right="-2"/>
      <w:jc w:val="both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167</cp:revision>
  <dcterms:created xsi:type="dcterms:W3CDTF">2017-11-02T13:06:00Z</dcterms:created>
  <dcterms:modified xsi:type="dcterms:W3CDTF">2026-03-04T07:02:41Z</dcterms:modified>
  <cp:version>786432</cp:version>
</cp:coreProperties>
</file>