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</w:pPr>
      <w:r/>
      <w:r/>
    </w:p>
    <w:p>
      <w:pPr>
        <w:pStyle w:val="752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br w:type="textWrapping" w:clear="all"/>
      </w:r>
      <w:r>
        <w:rPr>
          <w:b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</w:rPr>
      </w:pPr>
      <w:r>
        <w:rPr>
          <w:b/>
        </w:rPr>
        <w:t xml:space="preserve">КОМИТЕТ ПО УПРАВЛЕНИЮ ГОРОДСКИМ ИМУЩЕСТВОМ И ЗЕМЕЛЬНЫМИ РЕСУРСАМИ </w:t>
      </w:r>
      <w:r>
        <w:rPr>
          <w:b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</w:rPr>
      </w:pPr>
      <w:r>
        <w:rPr>
          <w:b/>
        </w:rPr>
        <w:t xml:space="preserve">АДМИНИСТРАЦИИ ГОРОДА НИЖНЕГО НОВГОРОДА</w:t>
      </w:r>
      <w:r>
        <w:rPr>
          <w:b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ИНФОРМАЦИОННОЕ СООБЩЕНИЕ </w:t>
      </w:r>
      <w:r>
        <w:rPr>
          <w:b/>
          <w:sz w:val="26"/>
          <w:szCs w:val="26"/>
        </w:rPr>
        <w:t xml:space="preserve">№ </w:t>
      </w:r>
      <w:r>
        <w:rPr>
          <w:b/>
          <w:sz w:val="26"/>
          <w:szCs w:val="26"/>
        </w:rPr>
        <w:t xml:space="preserve">01-П/2026</w:t>
      </w:r>
      <w:r>
        <w:rPr>
          <w:b/>
          <w:sz w:val="26"/>
          <w:szCs w:val="26"/>
        </w:rPr>
      </w:r>
    </w:p>
    <w:p>
      <w:pPr>
        <w:jc w:val="center"/>
        <w:tabs>
          <w:tab w:val="left" w:pos="1560" w:leader="none"/>
          <w:tab w:val="left" w:pos="14601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проведении</w:t>
      </w:r>
      <w:r>
        <w:rPr>
          <w:b/>
          <w:sz w:val="26"/>
          <w:szCs w:val="26"/>
        </w:rPr>
      </w:r>
    </w:p>
    <w:p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 xml:space="preserve">«</w:t>
      </w:r>
      <w:r>
        <w:rPr>
          <w:b/>
          <w:sz w:val="30"/>
          <w:szCs w:val="30"/>
          <w:u w:val="single"/>
        </w:rPr>
        <w:t xml:space="preserve">06</w:t>
      </w:r>
      <w:r>
        <w:rPr>
          <w:b/>
          <w:sz w:val="30"/>
          <w:szCs w:val="30"/>
          <w:u w:val="single"/>
        </w:rPr>
        <w:t xml:space="preserve">»</w:t>
      </w:r>
      <w:r>
        <w:rPr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 xml:space="preserve">мая</w:t>
      </w:r>
      <w:r>
        <w:rPr>
          <w:b/>
          <w:sz w:val="30"/>
          <w:szCs w:val="30"/>
          <w:u w:val="single"/>
        </w:rPr>
        <w:t xml:space="preserve"> </w:t>
      </w:r>
      <w:r>
        <w:rPr>
          <w:b/>
          <w:sz w:val="30"/>
          <w:szCs w:val="30"/>
          <w:u w:val="single"/>
        </w:rPr>
        <w:t xml:space="preserve">2026</w:t>
      </w:r>
      <w:r>
        <w:rPr>
          <w:b/>
          <w:sz w:val="30"/>
          <w:szCs w:val="30"/>
          <w:u w:val="single"/>
        </w:rPr>
        <w:t xml:space="preserve"> года продажи посредством публичного предложения в электронной форме с открытой формой подачи предложений о цене </w:t>
      </w:r>
      <w:r>
        <w:rPr>
          <w:b/>
          <w:sz w:val="30"/>
          <w:szCs w:val="30"/>
          <w:u w:val="single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имущества, находящегося в собственности муниципального образования город Нижний Новгород</w:t>
      </w:r>
      <w:r>
        <w:rPr>
          <w:b/>
          <w:sz w:val="26"/>
          <w:szCs w:val="26"/>
        </w:rPr>
        <w:t xml:space="preserve">,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Национальной электронной площадке </w:t>
      </w:r>
      <w:r>
        <w:rPr>
          <w:b/>
          <w:sz w:val="26"/>
          <w:szCs w:val="26"/>
        </w:rPr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https://www.fabrikant.ru/ в сети Интернет</w:t>
      </w:r>
      <w:r>
        <w:rPr>
          <w:b/>
          <w:sz w:val="26"/>
          <w:szCs w:val="26"/>
        </w:rPr>
      </w:r>
    </w:p>
    <w:p>
      <w:pPr>
        <w:pStyle w:val="754"/>
        <w:contextualSpacing/>
        <w:ind w:firstLine="708"/>
        <w:jc w:val="both"/>
        <w:spacing w:before="0" w:beforeAutospacing="0" w:after="0" w:afterAutospacing="0"/>
        <w:rPr>
          <w:bCs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Продавец</w:t>
      </w:r>
      <w:r>
        <w:rPr>
          <w:color w:val="000000"/>
          <w:sz w:val="26"/>
          <w:szCs w:val="26"/>
        </w:rPr>
        <w:t xml:space="preserve"> - Комитет по управлению городским имуществом и земельными ресурсами администрации города Нижнего Новгорода (</w:t>
      </w:r>
      <w:r>
        <w:rPr>
          <w:bCs/>
          <w:color w:val="000000"/>
          <w:sz w:val="26"/>
          <w:szCs w:val="26"/>
        </w:rPr>
        <w:t xml:space="preserve">603005, г.Н.Новгород, улица Большая Покровская, дом 15; </w:t>
      </w:r>
      <w:r>
        <w:rPr>
          <w:color w:val="000000"/>
          <w:sz w:val="26"/>
          <w:szCs w:val="26"/>
        </w:rPr>
        <w:t xml:space="preserve">тел.:</w:t>
      </w:r>
      <w:r>
        <w:rPr>
          <w:bCs/>
          <w:color w:val="000000"/>
          <w:sz w:val="26"/>
          <w:szCs w:val="26"/>
        </w:rPr>
        <w:t xml:space="preserve"> (831) 435-69-24, </w:t>
      </w:r>
      <w:r>
        <w:rPr>
          <w:color w:val="000000"/>
          <w:sz w:val="26"/>
          <w:szCs w:val="26"/>
          <w:lang w:val="en-US"/>
        </w:rPr>
        <w:t xml:space="preserve">e</w:t>
      </w:r>
      <w:r>
        <w:rPr>
          <w:color w:val="000000"/>
          <w:sz w:val="26"/>
          <w:szCs w:val="26"/>
        </w:rPr>
        <w:t xml:space="preserve">-</w:t>
      </w:r>
      <w:r>
        <w:rPr>
          <w:color w:val="000000"/>
          <w:sz w:val="26"/>
          <w:szCs w:val="26"/>
        </w:rPr>
        <w:t xml:space="preserve">mail</w:t>
      </w:r>
      <w:r>
        <w:rPr>
          <w:color w:val="000000"/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 xml:space="preserve">kugi</w:t>
      </w:r>
      <w:r>
        <w:rPr>
          <w:sz w:val="26"/>
          <w:szCs w:val="26"/>
        </w:rPr>
        <w:t xml:space="preserve">@</w:t>
      </w:r>
      <w:r>
        <w:rPr>
          <w:sz w:val="26"/>
          <w:szCs w:val="26"/>
          <w:lang w:val="en-US"/>
        </w:rPr>
        <w:t xml:space="preserve">admgor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nnov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bCs/>
          <w:color w:val="000000"/>
          <w:sz w:val="26"/>
          <w:szCs w:val="26"/>
        </w:rPr>
        <w:t xml:space="preserve">).</w:t>
      </w:r>
      <w:r>
        <w:rPr>
          <w:bCs/>
          <w:color w:val="000000"/>
          <w:sz w:val="26"/>
          <w:szCs w:val="26"/>
        </w:rPr>
      </w:r>
    </w:p>
    <w:p>
      <w:pPr>
        <w:pStyle w:val="754"/>
        <w:contextualSpacing/>
        <w:jc w:val="both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О</w:t>
      </w:r>
      <w:r>
        <w:rPr>
          <w:bCs/>
          <w:color w:val="000000"/>
          <w:sz w:val="26"/>
          <w:szCs w:val="26"/>
        </w:rPr>
        <w:t xml:space="preserve">фициальный сайт продавца: </w:t>
      </w:r>
      <w:r>
        <w:rPr>
          <w:bCs/>
          <w:sz w:val="26"/>
          <w:szCs w:val="26"/>
          <w:u w:val="single"/>
        </w:rPr>
        <w:t xml:space="preserve">www.нижнийновгород.рф</w:t>
      </w:r>
      <w:r>
        <w:rPr>
          <w:bCs/>
          <w:sz w:val="26"/>
          <w:szCs w:val="26"/>
          <w:u w:val="single"/>
        </w:rPr>
        <w:t xml:space="preserve">.</w:t>
      </w:r>
      <w:r>
        <w:rPr>
          <w:sz w:val="26"/>
          <w:szCs w:val="26"/>
        </w:rPr>
      </w:r>
    </w:p>
    <w:p>
      <w:pPr>
        <w:pStyle w:val="754"/>
        <w:contextualSpacing/>
        <w:ind w:firstLine="708"/>
        <w:jc w:val="both"/>
        <w:spacing w:before="0" w:beforeAutospacing="0" w:after="0" w:afterAutospacing="0"/>
        <w:rPr>
          <w:sz w:val="26"/>
          <w:szCs w:val="26"/>
          <w:lang w:eastAsia="en-US"/>
        </w:rPr>
      </w:pPr>
      <w:r>
        <w:rPr>
          <w:b/>
          <w:sz w:val="26"/>
          <w:szCs w:val="26"/>
        </w:rPr>
        <w:t xml:space="preserve">Организатор торгов</w:t>
      </w:r>
      <w:r>
        <w:rPr>
          <w:sz w:val="26"/>
          <w:szCs w:val="26"/>
        </w:rPr>
        <w:t xml:space="preserve"> – АО «Электронные торговые системы» </w:t>
      </w:r>
      <w:r>
        <w:rPr>
          <w:sz w:val="26"/>
          <w:szCs w:val="26"/>
          <w:lang w:eastAsia="en-US"/>
        </w:rPr>
        <w:t xml:space="preserve">(</w:t>
      </w:r>
      <w:r>
        <w:rPr>
          <w:sz w:val="26"/>
          <w:szCs w:val="26"/>
        </w:rPr>
        <w:t xml:space="preserve">https://www.fabrikant.ru/).</w:t>
      </w:r>
      <w:r>
        <w:rPr>
          <w:sz w:val="26"/>
          <w:szCs w:val="26"/>
          <w:lang w:eastAsia="en-US"/>
        </w:rPr>
      </w:r>
    </w:p>
    <w:p>
      <w:pPr>
        <w:pStyle w:val="754"/>
        <w:contextualSpacing/>
        <w:ind w:firstLine="708"/>
        <w:jc w:val="both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Продажа посредством </w:t>
      </w:r>
      <w:r>
        <w:rPr>
          <w:sz w:val="26"/>
          <w:szCs w:val="26"/>
        </w:rPr>
        <w:t xml:space="preserve">публичного предложения с открытой формой подачи предложений о цене имущества, находящегося в собственности муниципального образования город Нижний Новгород, проводится открытым по составу участников в соответствии с требованиями Гражданского кодекса Россий</w:t>
      </w:r>
      <w:r>
        <w:rPr>
          <w:sz w:val="26"/>
          <w:szCs w:val="26"/>
        </w:rPr>
        <w:t xml:space="preserve">ской Федерации, Федерального закона от 21.12.2001 № 178-ФЗ «О приватизации государственного и муниципального имущества» (далее – Закон о приватизации), постановления Правительства РФ от 27.08.2012 № 860 «Об организации и проведении продажи государственного</w:t>
      </w:r>
      <w:r>
        <w:rPr>
          <w:sz w:val="26"/>
          <w:szCs w:val="26"/>
        </w:rPr>
        <w:t xml:space="preserve"> или муниципального имущества в электронной форме», </w:t>
      </w:r>
      <w:r>
        <w:rPr>
          <w:color w:val="000000"/>
          <w:sz w:val="26"/>
          <w:szCs w:val="26"/>
        </w:rPr>
        <w:t xml:space="preserve">на основа</w:t>
      </w:r>
      <w:r>
        <w:rPr>
          <w:color w:val="000000"/>
          <w:sz w:val="26"/>
          <w:szCs w:val="26"/>
        </w:rPr>
        <w:t xml:space="preserve">нии решения городской Думы города Нижнего Новгорода от 17.12.2025 № 135 «О Прогнозном плане (программе) приватизации муниципального имущества, находящегося в собственности муниципального образования городской округ город Нижний Новгород, на 2026-2028 годы»</w:t>
      </w:r>
      <w:r>
        <w:rPr>
          <w:color w:val="000000"/>
          <w:sz w:val="26"/>
          <w:szCs w:val="26"/>
        </w:rPr>
        <w:t xml:space="preserve">.</w:t>
      </w:r>
      <w:r>
        <w:rPr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</w:r>
    </w:p>
    <w:p>
      <w:pPr>
        <w:pStyle w:val="754"/>
        <w:contextualSpacing/>
        <w:ind w:firstLine="708"/>
        <w:jc w:val="both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Описание имущества, находящегося в собственности муниципального образования городской округ город Нижний Новгород, выставляемого на продажу в электронной форме (информация о продаже также размещена на сайтах в сети «Интернет» </w:t>
      </w:r>
      <w:r>
        <w:rPr>
          <w:b/>
          <w:bCs/>
          <w:sz w:val="26"/>
          <w:szCs w:val="26"/>
          <w:u w:val="single"/>
        </w:rPr>
        <w:t xml:space="preserve">www.нижнийновгород</w:t>
      </w:r>
      <w:r>
        <w:rPr>
          <w:b/>
          <w:bCs/>
          <w:sz w:val="26"/>
          <w:szCs w:val="26"/>
          <w:u w:val="single"/>
        </w:rPr>
        <w:t xml:space="preserve">.р</w:t>
      </w:r>
      <w:r>
        <w:rPr>
          <w:b/>
          <w:bCs/>
          <w:sz w:val="26"/>
          <w:szCs w:val="26"/>
          <w:u w:val="single"/>
        </w:rPr>
        <w:t xml:space="preserve">ф</w:t>
      </w:r>
      <w:r>
        <w:rPr>
          <w:b/>
          <w:bCs/>
          <w:sz w:val="26"/>
          <w:szCs w:val="26"/>
          <w:u w:val="single"/>
        </w:rPr>
        <w:t xml:space="preserve">,</w:t>
      </w:r>
      <w:r>
        <w:rPr>
          <w:b/>
          <w:bCs/>
          <w:sz w:val="26"/>
          <w:szCs w:val="26"/>
        </w:rPr>
        <w:t xml:space="preserve"> </w:t>
      </w:r>
      <w:hyperlink r:id="rId11" w:tooltip="http://www.torgi.gov.ru" w:history="1">
        <w:r>
          <w:rPr>
            <w:rStyle w:val="759"/>
            <w:b/>
            <w:bCs/>
            <w:color w:val="000000"/>
            <w:sz w:val="26"/>
            <w:szCs w:val="26"/>
          </w:rPr>
          <w:t xml:space="preserve">www.</w:t>
        </w:r>
        <w:r>
          <w:rPr>
            <w:rStyle w:val="759"/>
            <w:b/>
            <w:bCs/>
            <w:color w:val="000000"/>
            <w:sz w:val="26"/>
            <w:szCs w:val="26"/>
            <w:lang w:val="en-US"/>
          </w:rPr>
          <w:t xml:space="preserve">torgi</w:t>
        </w:r>
        <w:r>
          <w:rPr>
            <w:rStyle w:val="759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759"/>
            <w:b/>
            <w:bCs/>
            <w:color w:val="000000"/>
            <w:sz w:val="26"/>
            <w:szCs w:val="26"/>
            <w:lang w:val="en-US"/>
          </w:rPr>
          <w:t xml:space="preserve">gov</w:t>
        </w:r>
        <w:r>
          <w:rPr>
            <w:rStyle w:val="759"/>
            <w:b/>
            <w:bCs/>
            <w:color w:val="000000"/>
            <w:sz w:val="26"/>
            <w:szCs w:val="26"/>
          </w:rPr>
          <w:t xml:space="preserve">.</w:t>
        </w:r>
        <w:r>
          <w:rPr>
            <w:rStyle w:val="759"/>
            <w:b/>
            <w:bCs/>
            <w:color w:val="000000"/>
            <w:sz w:val="26"/>
            <w:szCs w:val="26"/>
          </w:rPr>
          <w:t xml:space="preserve">ru</w:t>
        </w:r>
      </w:hyperlink>
      <w:r>
        <w:rPr>
          <w:b/>
          <w:bCs/>
          <w:color w:val="000000"/>
          <w:sz w:val="26"/>
          <w:szCs w:val="26"/>
          <w:u w:val="single"/>
        </w:rPr>
        <w:t xml:space="preserve">):</w:t>
      </w:r>
      <w:r>
        <w:rPr>
          <w:b/>
          <w:bCs/>
          <w:sz w:val="26"/>
          <w:szCs w:val="26"/>
        </w:rPr>
      </w:r>
    </w:p>
    <w:p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W w:w="15490" w:type="dxa"/>
        <w:jc w:val="center"/>
        <w:tblInd w:w="-1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"/>
        <w:gridCol w:w="1438"/>
        <w:gridCol w:w="1807"/>
        <w:gridCol w:w="726"/>
        <w:gridCol w:w="788"/>
        <w:gridCol w:w="791"/>
        <w:gridCol w:w="1665"/>
        <w:gridCol w:w="1389"/>
        <w:gridCol w:w="1233"/>
        <w:gridCol w:w="1282"/>
        <w:gridCol w:w="1310"/>
        <w:gridCol w:w="1417"/>
        <w:gridCol w:w="1154"/>
      </w:tblGrid>
      <w:tr>
        <w:tblPrEx/>
        <w:trPr>
          <w:cantSplit/>
          <w:jc w:val="center"/>
          <w:trHeight w:val="281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Местонахождение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Кадастровый номер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площадь объекта,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</w:t>
            </w:r>
            <w:r>
              <w:rPr>
                <w:sz w:val="20"/>
                <w:szCs w:val="20"/>
              </w:rPr>
              <w:t xml:space="preserve">.м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ввода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дома в эксплуатацию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объекта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Начальная цена объекта  (цена первоначального предложения), руб. (с учетом НДС)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Величина задатка, руб. (10% от начальной цены)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8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Минимальная цена объекта (цена отсечения), руб. (с учетом НДС)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Величина снижения первоначального предложения («шаг понижения»), руб.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формирования цены (цена последовательно снижается на «шаг понижения»), руб.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Величина повышения цены («шаг аукциона»), руб.</w:t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  <w:trHeight w:val="1846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sz w:val="20"/>
                <w:szCs w:val="20"/>
                <w:lang w:eastAsia="en-US" w:bidi="en-US"/>
              </w:rPr>
            </w:pPr>
            <w:r>
              <w:rPr>
                <w:rStyle w:val="797"/>
                <w:sz w:val="20"/>
                <w:szCs w:val="20"/>
                <w:lang w:eastAsia="en-US" w:bidi="en-US"/>
              </w:rPr>
              <w:t xml:space="preserve">1</w:t>
            </w:r>
            <w:r>
              <w:rPr>
                <w:rStyle w:val="797"/>
                <w:sz w:val="20"/>
                <w:szCs w:val="20"/>
                <w:lang w:eastAsia="en-US" w:bidi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  <w:r>
              <w:rPr>
                <w:sz w:val="20"/>
                <w:szCs w:val="20"/>
              </w:rPr>
            </w:r>
          </w:p>
          <w:p>
            <w:pPr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(подвал № 1)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</w:t>
            </w:r>
            <w:r>
              <w:rPr>
                <w:sz w:val="20"/>
                <w:szCs w:val="20"/>
              </w:rPr>
              <w:t xml:space="preserve">.Н</w:t>
            </w:r>
            <w:r>
              <w:rPr>
                <w:sz w:val="20"/>
                <w:szCs w:val="20"/>
              </w:rPr>
              <w:t xml:space="preserve">ижний Новгород, Советский район, пер.Вишневый, д.19 </w:t>
            </w:r>
            <w:r>
              <w:rPr>
                <w:sz w:val="20"/>
                <w:szCs w:val="20"/>
              </w:rPr>
              <w:t xml:space="preserve">пом</w:t>
            </w:r>
            <w:r>
              <w:rPr>
                <w:sz w:val="20"/>
                <w:szCs w:val="20"/>
              </w:rPr>
              <w:t xml:space="preserve"> П2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52:18:0070078:472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91,5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Нежилое помещение расположено в подвале четырехэтажного жилого дома. Вход отдельный.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3 165 900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3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316 590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82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1 582 950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316 590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3 165 900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2 849 310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2 532 720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2 216 130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1 899 540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1 582 950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158 295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  <w:trHeight w:val="1833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sz w:val="20"/>
                <w:szCs w:val="20"/>
                <w:lang w:eastAsia="en-US" w:bidi="en-US"/>
              </w:rPr>
            </w:pPr>
            <w:r>
              <w:rPr>
                <w:rStyle w:val="797"/>
                <w:sz w:val="20"/>
                <w:szCs w:val="20"/>
                <w:lang w:eastAsia="en-US" w:bidi="en-US"/>
              </w:rPr>
              <w:t xml:space="preserve">2</w:t>
            </w:r>
            <w:r>
              <w:rPr>
                <w:rStyle w:val="797"/>
                <w:sz w:val="20"/>
                <w:szCs w:val="20"/>
                <w:lang w:eastAsia="en-US" w:bidi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пристроенное помещение в </w:t>
            </w:r>
            <w:r>
              <w:rPr>
                <w:sz w:val="20"/>
                <w:szCs w:val="20"/>
              </w:rPr>
              <w:t xml:space="preserve">пристрое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(подвал №1)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</w:t>
            </w:r>
            <w:r>
              <w:rPr>
                <w:sz w:val="20"/>
                <w:szCs w:val="20"/>
              </w:rPr>
              <w:t xml:space="preserve">.Н</w:t>
            </w:r>
            <w:r>
              <w:rPr>
                <w:sz w:val="20"/>
                <w:szCs w:val="20"/>
              </w:rPr>
              <w:t xml:space="preserve">ижний Новгород, Автозаводский район, </w:t>
            </w:r>
            <w:r>
              <w:rPr>
                <w:sz w:val="20"/>
                <w:szCs w:val="20"/>
              </w:rPr>
              <w:t xml:space="preserve">ул.Политбойцов</w:t>
            </w:r>
            <w:r>
              <w:rPr>
                <w:sz w:val="20"/>
                <w:szCs w:val="20"/>
              </w:rPr>
              <w:t xml:space="preserve">, д.10, </w:t>
            </w:r>
            <w:r>
              <w:rPr>
                <w:sz w:val="20"/>
                <w:szCs w:val="20"/>
              </w:rPr>
              <w:t xml:space="preserve">пом</w:t>
            </w:r>
            <w:r>
              <w:rPr>
                <w:sz w:val="20"/>
                <w:szCs w:val="20"/>
              </w:rPr>
              <w:t xml:space="preserve"> П5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52:18:0040166:214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502,9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1980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расположено в подвале </w:t>
            </w:r>
            <w:r>
              <w:rPr>
                <w:sz w:val="20"/>
                <w:szCs w:val="20"/>
              </w:rPr>
              <w:t xml:space="preserve">пристроя</w:t>
            </w:r>
            <w:r>
              <w:rPr>
                <w:sz w:val="20"/>
                <w:szCs w:val="20"/>
              </w:rPr>
              <w:t xml:space="preserve"> к девятиэтажному жилому дому. Один отдельный вход с торца </w:t>
            </w:r>
            <w:r>
              <w:rPr>
                <w:sz w:val="20"/>
                <w:szCs w:val="20"/>
              </w:rPr>
              <w:t xml:space="preserve">пристроя</w:t>
            </w:r>
            <w:r>
              <w:rPr>
                <w:sz w:val="20"/>
                <w:szCs w:val="20"/>
              </w:rPr>
              <w:t xml:space="preserve">, имеется доступ с первого этажа через помещение, находящееся в частной собственности.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10 058 000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3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1 005 800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82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5 029 000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1 005 800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10 058 000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9 052 200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8 046 400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7 040 600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6 034 800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5 029 000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502 900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  <w:trHeight w:val="2265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sz w:val="20"/>
                <w:szCs w:val="20"/>
                <w:lang w:eastAsia="en-US" w:bidi="en-US"/>
              </w:rPr>
            </w:pPr>
            <w:r>
              <w:rPr>
                <w:rStyle w:val="797"/>
                <w:sz w:val="20"/>
                <w:szCs w:val="20"/>
                <w:lang w:eastAsia="en-US" w:bidi="en-US"/>
              </w:rPr>
              <w:t xml:space="preserve">3</w:t>
            </w:r>
            <w:r>
              <w:rPr>
                <w:rStyle w:val="797"/>
                <w:sz w:val="20"/>
                <w:szCs w:val="20"/>
                <w:lang w:eastAsia="en-US" w:bidi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47/100 долей в праве общей долевой собственности на нежилое помещение (подвал №1)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</w:t>
            </w:r>
            <w:r>
              <w:rPr>
                <w:sz w:val="20"/>
                <w:szCs w:val="20"/>
              </w:rPr>
              <w:t xml:space="preserve">.Н</w:t>
            </w:r>
            <w:r>
              <w:rPr>
                <w:sz w:val="20"/>
                <w:szCs w:val="20"/>
              </w:rPr>
              <w:t xml:space="preserve">ижний Новгород, Советский район, </w:t>
            </w:r>
            <w:r>
              <w:rPr>
                <w:sz w:val="20"/>
                <w:szCs w:val="20"/>
              </w:rPr>
              <w:t xml:space="preserve">пр-кт</w:t>
            </w:r>
            <w:r>
              <w:rPr>
                <w:sz w:val="20"/>
                <w:szCs w:val="20"/>
              </w:rPr>
              <w:t xml:space="preserve"> Гагарина, д.56, </w:t>
            </w:r>
            <w:r>
              <w:rPr>
                <w:sz w:val="20"/>
                <w:szCs w:val="20"/>
              </w:rPr>
              <w:t xml:space="preserve">пом</w:t>
            </w:r>
            <w:r>
              <w:rPr>
                <w:sz w:val="20"/>
                <w:szCs w:val="20"/>
              </w:rPr>
              <w:t xml:space="preserve"> П4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52:18:0070189:191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200,3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1965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расположено в подвале пятиэтажного жилого дома.</w:t>
            </w:r>
            <w:r>
              <w:rPr>
                <w:sz w:val="20"/>
                <w:szCs w:val="20"/>
              </w:rPr>
            </w:r>
          </w:p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Вход отдельный.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3 012 512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3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301 251,2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82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1 506 256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301 251,2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3 012 512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2 711 260,8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2 410 009,6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2 108 758,4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1 807 507,2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1 506 256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150 625,6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  <w:trHeight w:val="226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sz w:val="20"/>
                <w:szCs w:val="20"/>
                <w:lang w:eastAsia="en-US" w:bidi="en-US"/>
              </w:rPr>
            </w:pPr>
            <w:r>
              <w:rPr>
                <w:rStyle w:val="797"/>
                <w:sz w:val="20"/>
                <w:szCs w:val="20"/>
                <w:lang w:eastAsia="en-US" w:bidi="en-US"/>
              </w:rPr>
              <w:t xml:space="preserve">4</w:t>
            </w:r>
            <w:r>
              <w:rPr>
                <w:rStyle w:val="797"/>
                <w:sz w:val="20"/>
                <w:szCs w:val="20"/>
                <w:lang w:eastAsia="en-US" w:bidi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  <w:r>
              <w:rPr>
                <w:sz w:val="20"/>
                <w:szCs w:val="20"/>
              </w:rPr>
            </w:r>
          </w:p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(подвал №1)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</w:t>
            </w:r>
            <w:r>
              <w:rPr>
                <w:sz w:val="20"/>
                <w:szCs w:val="20"/>
              </w:rPr>
              <w:t xml:space="preserve">.Н</w:t>
            </w:r>
            <w:r>
              <w:rPr>
                <w:sz w:val="20"/>
                <w:szCs w:val="20"/>
              </w:rPr>
              <w:t xml:space="preserve">ижний Новгород, Ленинский район, ул.Космонавта Комарова, д.13А, </w:t>
            </w:r>
            <w:r>
              <w:rPr>
                <w:sz w:val="20"/>
                <w:szCs w:val="20"/>
              </w:rPr>
              <w:t xml:space="preserve">пом</w:t>
            </w:r>
            <w:r>
              <w:rPr>
                <w:sz w:val="20"/>
                <w:szCs w:val="20"/>
              </w:rPr>
              <w:t xml:space="preserve"> ВП1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52:18:0050238:2712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1958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расположено в подвале пятиэтажного жилого дома. Вход отдельный со двора жилого дома.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7 268 400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3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726 840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82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3 634 200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726 840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7 268 400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6 541 560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5 814 720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5 087 880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4 361 040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3 634 200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363 420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  <w:trHeight w:val="1977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Style w:val="797"/>
                <w:sz w:val="20"/>
                <w:szCs w:val="20"/>
                <w:lang w:eastAsia="en-US" w:bidi="en-US"/>
              </w:rPr>
            </w:pPr>
            <w:r>
              <w:rPr>
                <w:rStyle w:val="797"/>
                <w:sz w:val="20"/>
                <w:szCs w:val="20"/>
                <w:lang w:eastAsia="en-US" w:bidi="en-US"/>
              </w:rPr>
              <w:t xml:space="preserve">5</w:t>
            </w:r>
            <w:r>
              <w:rPr>
                <w:rStyle w:val="797"/>
                <w:sz w:val="20"/>
                <w:szCs w:val="20"/>
                <w:lang w:eastAsia="en-US" w:bidi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  <w:r>
              <w:rPr>
                <w:sz w:val="20"/>
                <w:szCs w:val="20"/>
              </w:rPr>
            </w:r>
          </w:p>
          <w:p>
            <w:pPr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(Цокольный этаж № 1)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Нижегородская область, г Нижний Новгород, р-н </w:t>
            </w:r>
            <w:r>
              <w:rPr>
                <w:sz w:val="20"/>
                <w:szCs w:val="20"/>
              </w:rPr>
              <w:t xml:space="preserve">Приокский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ул</w:t>
            </w:r>
            <w:r>
              <w:rPr>
                <w:sz w:val="20"/>
                <w:szCs w:val="20"/>
              </w:rPr>
              <w:t xml:space="preserve"> Петровского, </w:t>
            </w:r>
            <w:r>
              <w:rPr>
                <w:sz w:val="20"/>
                <w:szCs w:val="20"/>
              </w:rPr>
              <w:t xml:space="preserve">д</w:t>
            </w:r>
            <w:r>
              <w:rPr>
                <w:sz w:val="20"/>
                <w:szCs w:val="20"/>
              </w:rPr>
              <w:t xml:space="preserve"> 23, </w:t>
            </w:r>
            <w:r>
              <w:rPr>
                <w:sz w:val="20"/>
                <w:szCs w:val="20"/>
              </w:rPr>
              <w:t xml:space="preserve">пом</w:t>
            </w:r>
            <w:r>
              <w:rPr>
                <w:sz w:val="20"/>
                <w:szCs w:val="20"/>
              </w:rPr>
              <w:t xml:space="preserve"> П2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52:18:0080167:651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130,2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Нежилое помещение расположено на цокольном этаже пятиэтажного жилого дома. Вход совместный.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Через помещение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пом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2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о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существляется доступ в помещение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пом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3.</w:t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389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4 549 616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33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454 961,6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2 274 808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454 961,6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4 549 616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4 094 654,4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3 639 692,8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3 184 731,2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2 729 769,6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2 274 808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227 480,8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  <w:trHeight w:val="2118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Style w:val="797"/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</w:r>
            <w:r>
              <w:rPr>
                <w:rStyle w:val="797"/>
                <w:sz w:val="20"/>
                <w:szCs w:val="20"/>
                <w:lang w:eastAsia="en-US" w:bidi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  <w:r>
              <w:rPr>
                <w:sz w:val="20"/>
                <w:szCs w:val="20"/>
              </w:rPr>
            </w:r>
          </w:p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(Цокольный этаж № 1)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Российская Федерация, Нижегородская область, г Нижний Новгород, р-н </w:t>
            </w:r>
            <w:r>
              <w:rPr>
                <w:sz w:val="20"/>
                <w:szCs w:val="20"/>
              </w:rPr>
              <w:t xml:space="preserve">Приокский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ул</w:t>
            </w:r>
            <w:r>
              <w:rPr>
                <w:sz w:val="20"/>
                <w:szCs w:val="20"/>
              </w:rPr>
              <w:t xml:space="preserve"> Петровского, </w:t>
            </w:r>
            <w:r>
              <w:rPr>
                <w:sz w:val="20"/>
                <w:szCs w:val="20"/>
              </w:rPr>
              <w:t xml:space="preserve">д</w:t>
            </w:r>
            <w:r>
              <w:rPr>
                <w:sz w:val="20"/>
                <w:szCs w:val="20"/>
              </w:rPr>
              <w:t xml:space="preserve"> 23, </w:t>
            </w:r>
            <w:r>
              <w:rPr>
                <w:sz w:val="20"/>
                <w:szCs w:val="20"/>
              </w:rPr>
              <w:t xml:space="preserve">пом</w:t>
            </w:r>
            <w:r>
              <w:rPr>
                <w:sz w:val="20"/>
                <w:szCs w:val="20"/>
              </w:rPr>
              <w:t xml:space="preserve"> П3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52:18:0080167:1389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86,7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Нежилое помещение расположено на цокольном этаже пятиэтажного жилого дома. Вход через смежное нежилое помещение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пом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П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2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3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8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5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  <w:trHeight w:val="2247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sz w:val="20"/>
                <w:szCs w:val="20"/>
                <w:lang w:eastAsia="en-US" w:bidi="en-US"/>
              </w:rPr>
            </w:pPr>
            <w:r>
              <w:rPr>
                <w:rStyle w:val="797"/>
                <w:sz w:val="20"/>
                <w:szCs w:val="20"/>
                <w:lang w:eastAsia="en-US" w:bidi="en-US"/>
              </w:rPr>
              <w:t xml:space="preserve">6</w:t>
            </w:r>
            <w:r>
              <w:rPr>
                <w:rStyle w:val="797"/>
                <w:sz w:val="20"/>
                <w:szCs w:val="20"/>
                <w:lang w:eastAsia="en-US" w:bidi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встроенное помещение </w:t>
            </w:r>
            <w:r>
              <w:rPr>
                <w:sz w:val="20"/>
                <w:szCs w:val="20"/>
              </w:rPr>
            </w:r>
          </w:p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(Подвал № подвал)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Нижегородская область, Нижний Новгород г, </w:t>
            </w:r>
            <w:r>
              <w:rPr>
                <w:sz w:val="20"/>
                <w:szCs w:val="20"/>
              </w:rPr>
              <w:t xml:space="preserve">Приокский</w:t>
            </w:r>
            <w:r>
              <w:rPr>
                <w:sz w:val="20"/>
                <w:szCs w:val="20"/>
              </w:rPr>
              <w:t xml:space="preserve"> р-н, </w:t>
            </w:r>
            <w:r>
              <w:rPr>
                <w:sz w:val="20"/>
                <w:szCs w:val="20"/>
              </w:rPr>
              <w:t xml:space="preserve">ул</w:t>
            </w:r>
            <w:r>
              <w:rPr>
                <w:sz w:val="20"/>
                <w:szCs w:val="20"/>
              </w:rPr>
              <w:t xml:space="preserve"> Луганская, д.9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52:18:0080020:656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126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расположено в подвале пятиэтажного жилого дома. Вход отдельный.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2 587 312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3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258 731,2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82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1 293 656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258 731,2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2 587 312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2 328 580,8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2 069 849,6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1 811 118,4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1 552 387,2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1 293 656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129 365,6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  <w:trHeight w:val="2247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sz w:val="20"/>
                <w:szCs w:val="20"/>
                <w:lang w:eastAsia="en-US" w:bidi="en-US"/>
              </w:rPr>
            </w:pPr>
            <w:r>
              <w:rPr>
                <w:rStyle w:val="797"/>
                <w:sz w:val="20"/>
                <w:szCs w:val="20"/>
                <w:lang w:eastAsia="en-US" w:bidi="en-US"/>
              </w:rPr>
              <w:t xml:space="preserve">7</w:t>
            </w:r>
            <w:r>
              <w:rPr>
                <w:rStyle w:val="797"/>
                <w:sz w:val="20"/>
                <w:szCs w:val="20"/>
                <w:lang w:eastAsia="en-US" w:bidi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(Подвал № 1)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Нижегородская область, г Нижний Новгород, р-н </w:t>
            </w:r>
            <w:r>
              <w:rPr>
                <w:sz w:val="20"/>
                <w:szCs w:val="20"/>
              </w:rPr>
              <w:t xml:space="preserve">Приокский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ул</w:t>
            </w:r>
            <w:r>
              <w:rPr>
                <w:sz w:val="20"/>
                <w:szCs w:val="20"/>
              </w:rPr>
              <w:t xml:space="preserve"> 40 лет Октября, </w:t>
            </w:r>
            <w:r>
              <w:rPr>
                <w:sz w:val="20"/>
                <w:szCs w:val="20"/>
              </w:rPr>
              <w:t xml:space="preserve">д</w:t>
            </w:r>
            <w:r>
              <w:rPr>
                <w:sz w:val="20"/>
                <w:szCs w:val="20"/>
              </w:rPr>
              <w:t xml:space="preserve"> 9, </w:t>
            </w:r>
            <w:r>
              <w:rPr>
                <w:sz w:val="20"/>
                <w:szCs w:val="20"/>
              </w:rPr>
              <w:t xml:space="preserve">пом</w:t>
            </w:r>
            <w:r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52:18:0080040:627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1989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расположено в подвале двухэтажного жилого дома. Вход совместный.</w:t>
            </w:r>
            <w:r>
              <w:rPr>
                <w:sz w:val="20"/>
                <w:szCs w:val="20"/>
              </w:rPr>
            </w:r>
          </w:p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2 229 927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3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222 992,7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82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1 114 963,5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222 992,7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2 229 927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2 006 934,3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1 783 941,6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1 560 948,9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1 337 956,2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1 114 963,5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111 496,35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  <w:trHeight w:val="2263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sz w:val="20"/>
                <w:szCs w:val="20"/>
                <w:lang w:eastAsia="en-US" w:bidi="en-US"/>
              </w:rPr>
            </w:pPr>
            <w:r>
              <w:rPr>
                <w:rStyle w:val="797"/>
                <w:sz w:val="20"/>
                <w:szCs w:val="20"/>
                <w:lang w:eastAsia="en-US" w:bidi="en-US"/>
              </w:rPr>
              <w:t xml:space="preserve">8</w:t>
            </w:r>
            <w:r>
              <w:rPr>
                <w:rStyle w:val="797"/>
                <w:sz w:val="20"/>
                <w:szCs w:val="20"/>
                <w:lang w:eastAsia="en-US" w:bidi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(Подвал №1, Цокольный этаж №1)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Нижегородская область, г Нижний Новгород, р-н Советский, </w:t>
            </w:r>
            <w:r>
              <w:rPr>
                <w:sz w:val="20"/>
                <w:szCs w:val="20"/>
              </w:rPr>
              <w:t xml:space="preserve">ул</w:t>
            </w:r>
            <w:r>
              <w:rPr>
                <w:sz w:val="20"/>
                <w:szCs w:val="20"/>
              </w:rPr>
              <w:t xml:space="preserve"> Бекетова, </w:t>
            </w:r>
            <w:r>
              <w:rPr>
                <w:sz w:val="20"/>
                <w:szCs w:val="20"/>
              </w:rPr>
              <w:t xml:space="preserve">д</w:t>
            </w:r>
            <w:r>
              <w:rPr>
                <w:sz w:val="20"/>
                <w:szCs w:val="20"/>
              </w:rPr>
              <w:t xml:space="preserve"> 18, </w:t>
            </w:r>
            <w:r>
              <w:rPr>
                <w:sz w:val="20"/>
                <w:szCs w:val="20"/>
              </w:rPr>
              <w:t xml:space="preserve">пом</w:t>
            </w:r>
            <w:r>
              <w:rPr>
                <w:sz w:val="20"/>
                <w:szCs w:val="20"/>
              </w:rPr>
              <w:t xml:space="preserve"> П3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52:18:0070172:587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185,4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расположено в подвале и на цокольном этаже четырехэтажного жилого дома. Вход отдельный.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8 790 669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3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879 066,9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82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4 395 334,5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879 066,9</w:t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8 790 669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7 911 602,1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7 032 535,2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6 153 468,3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5 274 401,4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4 395 334,5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439 533,45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  <w:trHeight w:val="2269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sz w:val="20"/>
                <w:szCs w:val="20"/>
                <w:lang w:eastAsia="en-US" w:bidi="en-US"/>
              </w:rPr>
            </w:pPr>
            <w:r>
              <w:rPr>
                <w:rStyle w:val="797"/>
                <w:sz w:val="20"/>
                <w:szCs w:val="20"/>
                <w:lang w:eastAsia="en-US" w:bidi="en-US"/>
              </w:rPr>
              <w:t xml:space="preserve">9</w:t>
            </w:r>
            <w:r>
              <w:rPr>
                <w:rStyle w:val="797"/>
                <w:sz w:val="20"/>
                <w:szCs w:val="20"/>
                <w:lang w:eastAsia="en-US" w:bidi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Нежилое помещение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(этаж № 1)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Российская Федерация, Нижегородская обл., городской округ город Нижний Новгород,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г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. Нижний</w:t>
            </w:r>
            <w:r>
              <w:rPr>
                <w:sz w:val="20"/>
                <w:szCs w:val="20"/>
              </w:rPr>
            </w:r>
          </w:p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Новгород, ул.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Чукотская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, д.3А,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пом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. П11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52:18:0070228:1884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5,2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1981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Нежилое помещение расположено на первом этаже пятиэтажного жилого дома. Вход совместный с жителями дома.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384 466</w:t>
            </w:r>
            <w:r>
              <w:rPr>
                <w:b/>
                <w:sz w:val="20"/>
                <w:szCs w:val="20"/>
                <w:highlight w:val="yellow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3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38 446,6</w:t>
            </w:r>
            <w:r>
              <w:rPr>
                <w:b/>
                <w:sz w:val="20"/>
                <w:szCs w:val="20"/>
                <w:highlight w:val="yellow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82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192 233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 xml:space="preserve">38 446,6</w:t>
            </w:r>
            <w:r>
              <w:rPr>
                <w:b/>
                <w:sz w:val="20"/>
                <w:szCs w:val="20"/>
                <w:highlight w:val="yellow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/>
            <w:bookmarkStart w:id="0" w:name="_GoBack"/>
            <w:r/>
            <w:bookmarkEnd w:id="0"/>
            <w:r>
              <w:rPr>
                <w:rStyle w:val="797"/>
                <w:b/>
                <w:sz w:val="20"/>
                <w:szCs w:val="20"/>
              </w:rPr>
              <w:t xml:space="preserve">384 466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346 019,4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307 572,8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269 126,2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230 679,6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192 233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19 223,3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  <w:trHeight w:val="2269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Style w:val="797"/>
                <w:sz w:val="20"/>
                <w:szCs w:val="20"/>
                <w:lang w:eastAsia="en-US" w:bidi="en-US"/>
              </w:rPr>
            </w:pPr>
            <w:r>
              <w:rPr>
                <w:rStyle w:val="797"/>
                <w:sz w:val="20"/>
                <w:szCs w:val="20"/>
                <w:lang w:eastAsia="en-US" w:bidi="en-US"/>
              </w:rPr>
              <w:t xml:space="preserve">10</w:t>
            </w:r>
            <w:r>
              <w:rPr>
                <w:rStyle w:val="797"/>
                <w:sz w:val="20"/>
                <w:szCs w:val="20"/>
                <w:lang w:eastAsia="en-US" w:bidi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Нежилое помещение 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(подвал № 1) 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Нижегородская область,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г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Нижний Новгород, р-н Ленинский,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пр-кт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Ленина,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д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58А,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пом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П8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52:18:0050248:770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18,2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1957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Нежилое помещение расположено в подвале пятиэтажного жилого дома. Вход совместный с пользователями других нежилых помещений. Через помещение П8 осуществляется доступ в помещения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пом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П5 и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пом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П28.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389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b/>
                <w:color w:val="000000"/>
                <w:sz w:val="20"/>
                <w:szCs w:val="20"/>
                <w:lang w:bidi="ru-RU"/>
              </w:rPr>
              <w:t xml:space="preserve">2 163 286</w:t>
            </w:r>
            <w:r>
              <w:rPr>
                <w:b/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33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b/>
                <w:color w:val="000000"/>
                <w:sz w:val="20"/>
                <w:szCs w:val="20"/>
                <w:lang w:bidi="ru-RU"/>
              </w:rPr>
              <w:t xml:space="preserve">216 328,6</w:t>
            </w:r>
            <w:r>
              <w:rPr>
                <w:b/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8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1 081 643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10" w:type="dxa"/>
            <w:vAlign w:val="center"/>
            <w:vMerge w:val="restart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b/>
                <w:color w:val="000000"/>
                <w:sz w:val="20"/>
                <w:szCs w:val="20"/>
                <w:lang w:bidi="ru-RU"/>
              </w:rPr>
              <w:t xml:space="preserve">216 328,6</w:t>
            </w:r>
            <w:r>
              <w:rPr>
                <w:b/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2 163 286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1 946 957,4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1 730 628,8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1 514 300,2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1 297 971,6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1 081 643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108 164,3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  <w:trHeight w:val="2269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Style w:val="797"/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</w:r>
            <w:r>
              <w:rPr>
                <w:rStyle w:val="797"/>
                <w:sz w:val="20"/>
                <w:szCs w:val="20"/>
                <w:lang w:eastAsia="en-US" w:bidi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Нежилое помещение 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(подвал № 1) 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Нижегородская область,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г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Нижний Новгород, р-н Ленинский,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пр-кт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Ленина,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д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58А,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пом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П5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52:18:0050248:126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27,9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1957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Нежилое помещение расположено в подвале пятиэтажного жилого дома. 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Вход совместный с пользователями других нежилых помещений. Доступ в помещение осуществляется через смежное помещение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пом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П8.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389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3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8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5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  <w:trHeight w:val="2269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Style w:val="797"/>
                <w:sz w:val="20"/>
                <w:szCs w:val="20"/>
                <w:lang w:eastAsia="en-US" w:bidi="en-US"/>
              </w:rPr>
            </w:pPr>
            <w:r>
              <w:rPr>
                <w:sz w:val="20"/>
                <w:szCs w:val="20"/>
                <w:lang w:eastAsia="en-US" w:bidi="en-US"/>
              </w:rPr>
            </w:r>
            <w:r>
              <w:rPr>
                <w:rStyle w:val="797"/>
                <w:sz w:val="20"/>
                <w:szCs w:val="20"/>
                <w:lang w:eastAsia="en-US" w:bidi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Нежилое помещение 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(подвал № 1)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Нижегородская область,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г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Нижний Новгород, р-н Ленинский,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пр-кт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Ленина,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д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58А,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пом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П28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52:18:0050248:774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8,4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1957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Нежилое помещение расположено в подвале пятиэтажного жилого дома. 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Вход совместный с пользователями других нежилых помещений. Доступ в помещение осуществляется через смежное помещение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пом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П8.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389" w:type="dxa"/>
            <w:vAlign w:val="center"/>
            <w:vMerge w:val="continue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33" w:type="dxa"/>
            <w:vAlign w:val="center"/>
            <w:vMerge w:val="continue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8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10" w:type="dxa"/>
            <w:vAlign w:val="center"/>
            <w:vMerge w:val="continue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5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  <w:trHeight w:val="2269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sz w:val="20"/>
                <w:szCs w:val="20"/>
                <w:lang w:eastAsia="en-US" w:bidi="en-US"/>
              </w:rPr>
            </w:pPr>
            <w:r>
              <w:rPr>
                <w:rStyle w:val="797"/>
                <w:sz w:val="20"/>
                <w:szCs w:val="20"/>
                <w:lang w:eastAsia="en-US" w:bidi="en-US"/>
              </w:rPr>
              <w:t xml:space="preserve">11</w:t>
            </w:r>
            <w:r>
              <w:rPr>
                <w:rStyle w:val="797"/>
                <w:sz w:val="20"/>
                <w:szCs w:val="20"/>
                <w:lang w:eastAsia="en-US" w:bidi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Нежилое помещение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(подвал №1)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Нижегородская область, г Нижний Новгород, р-н Автозаводский,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пр-кт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Ильича,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д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34,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пом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П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2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52:18:0040267:161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146,8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1941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Нежилое помещение расположено в подвале пятиэтажного жилого дома. Имеются один совместный и один отдельный входы.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b/>
                <w:color w:val="000000"/>
                <w:sz w:val="20"/>
                <w:szCs w:val="20"/>
                <w:lang w:bidi="ru-RU"/>
              </w:rPr>
              <w:t xml:space="preserve">3 287 260</w:t>
            </w:r>
            <w:r>
              <w:rPr>
                <w:b/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3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b/>
                <w:color w:val="000000"/>
                <w:sz w:val="20"/>
                <w:szCs w:val="20"/>
                <w:lang w:bidi="ru-RU"/>
              </w:rPr>
              <w:t xml:space="preserve">328 726</w:t>
            </w:r>
            <w:r>
              <w:rPr>
                <w:b/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82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1 643 630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b/>
                <w:color w:val="000000"/>
                <w:sz w:val="20"/>
                <w:szCs w:val="20"/>
                <w:lang w:bidi="ru-RU"/>
              </w:rPr>
              <w:t xml:space="preserve">328 726</w:t>
            </w:r>
            <w:r>
              <w:rPr>
                <w:b/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3 287 260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2 958 534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2 629 808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2 301 082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1 972 356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1 643 630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164 363</w:t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jc w:val="center"/>
          <w:trHeight w:val="2269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sz w:val="20"/>
                <w:szCs w:val="20"/>
                <w:lang w:eastAsia="en-US" w:bidi="en-US"/>
              </w:rPr>
            </w:pPr>
            <w:r>
              <w:rPr>
                <w:rStyle w:val="797"/>
                <w:sz w:val="20"/>
                <w:szCs w:val="20"/>
                <w:lang w:eastAsia="en-US" w:bidi="en-US"/>
              </w:rPr>
              <w:t xml:space="preserve">12</w:t>
            </w:r>
            <w:r>
              <w:rPr>
                <w:rStyle w:val="797"/>
                <w:sz w:val="20"/>
                <w:szCs w:val="20"/>
                <w:lang w:eastAsia="en-US" w:bidi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3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Нежилое встроенное помещение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(подвал №1)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7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Нижегородская область, г Нижний Новгород, р-н Автозаводский,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пр-кт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Ильича,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д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34,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пом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П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7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6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52:18:0040267:163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88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150,2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91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1941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 xml:space="preserve">Нежилое помещение расположено в подвале пятиэтажного жилого дома. Вход отдельный.</w:t>
            </w:r>
            <w:r>
              <w:rPr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389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b/>
                <w:color w:val="000000"/>
                <w:sz w:val="20"/>
                <w:szCs w:val="20"/>
                <w:lang w:bidi="ru-RU"/>
              </w:rPr>
              <w:t xml:space="preserve">3 351 097</w:t>
            </w:r>
            <w:r>
              <w:rPr>
                <w:b/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33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b/>
                <w:color w:val="000000"/>
                <w:sz w:val="20"/>
                <w:szCs w:val="20"/>
                <w:lang w:bidi="ru-RU"/>
              </w:rPr>
              <w:t xml:space="preserve">335 109,7</w:t>
            </w:r>
            <w:r>
              <w:rPr>
                <w:b/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282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1 675 548,5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310" w:type="dxa"/>
            <w:vAlign w:val="center"/>
            <w:textDirection w:val="lrTb"/>
            <w:noWrap w:val="false"/>
          </w:tcPr>
          <w:p>
            <w:pPr>
              <w:ind w:left="57" w:right="57"/>
              <w:jc w:val="center"/>
              <w:rPr>
                <w:b/>
                <w:color w:val="000000"/>
                <w:sz w:val="20"/>
                <w:szCs w:val="20"/>
                <w:lang w:bidi="ru-RU"/>
              </w:rPr>
            </w:pPr>
            <w:r>
              <w:rPr>
                <w:b/>
                <w:color w:val="000000"/>
                <w:sz w:val="20"/>
                <w:szCs w:val="20"/>
                <w:lang w:bidi="ru-RU"/>
              </w:rPr>
              <w:t xml:space="preserve">335 109,7</w:t>
            </w:r>
            <w:r>
              <w:rPr>
                <w:b/>
                <w:color w:val="000000"/>
                <w:sz w:val="20"/>
                <w:szCs w:val="20"/>
                <w:lang w:bidi="ru-RU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3 351 097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3 015 987,3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2 680 877,6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2 345 767,9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2 010 658,2</w:t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rStyle w:val="797"/>
                <w:b/>
                <w:sz w:val="20"/>
                <w:szCs w:val="20"/>
              </w:rPr>
            </w:r>
          </w:p>
          <w:p>
            <w:pPr>
              <w:jc w:val="center"/>
              <w:rPr>
                <w:rStyle w:val="797"/>
                <w:b/>
                <w:sz w:val="20"/>
                <w:szCs w:val="20"/>
              </w:rPr>
            </w:pPr>
            <w:r>
              <w:rPr>
                <w:rStyle w:val="797"/>
                <w:b/>
                <w:sz w:val="20"/>
                <w:szCs w:val="20"/>
              </w:rPr>
              <w:t xml:space="preserve">1 675 548,5</w:t>
            </w:r>
            <w:r>
              <w:rPr>
                <w:rStyle w:val="797"/>
                <w:b/>
                <w:sz w:val="20"/>
                <w:szCs w:val="20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15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167 554,85</w:t>
            </w:r>
            <w:r>
              <w:rPr>
                <w:b/>
                <w:sz w:val="20"/>
                <w:szCs w:val="20"/>
              </w:rPr>
            </w:r>
          </w:p>
        </w:tc>
      </w:tr>
    </w:tbl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Примечание: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лотам №№ </w:t>
      </w:r>
      <w:r>
        <w:rPr>
          <w:b/>
          <w:sz w:val="26"/>
          <w:szCs w:val="26"/>
          <w:u w:val="single"/>
        </w:rPr>
        <w:t xml:space="preserve">1-8, 10-12</w:t>
      </w:r>
      <w:r>
        <w:rPr>
          <w:b/>
          <w:sz w:val="26"/>
          <w:szCs w:val="26"/>
          <w:u w:val="single"/>
        </w:rPr>
        <w:t xml:space="preserve">:</w:t>
      </w:r>
      <w:r>
        <w:rPr>
          <w:b/>
          <w:sz w:val="26"/>
          <w:szCs w:val="26"/>
        </w:rPr>
        <w:t xml:space="preserve"> условием договора купли-продажи объекта является обязательство покупателя обеспечивать беспрепятственный доступ представителям организации, оказывающей услуги по содержанию и ремонту общего имущества для проведения осмотра и обслуживания </w:t>
      </w:r>
      <w:r>
        <w:rPr>
          <w:b/>
          <w:sz w:val="26"/>
          <w:szCs w:val="26"/>
        </w:rPr>
        <w:t xml:space="preserve">общедомовых</w:t>
      </w:r>
      <w:r>
        <w:rPr>
          <w:b/>
          <w:sz w:val="26"/>
          <w:szCs w:val="26"/>
        </w:rPr>
        <w:t xml:space="preserve"> инженерных коммуникаций, а также для ликвидации аварий.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По лоту </w:t>
      </w:r>
      <w:r>
        <w:rPr>
          <w:b/>
          <w:sz w:val="26"/>
          <w:szCs w:val="26"/>
          <w:u w:val="single"/>
        </w:rPr>
        <w:t xml:space="preserve">№</w:t>
      </w:r>
      <w:r>
        <w:rPr>
          <w:b/>
          <w:sz w:val="26"/>
          <w:szCs w:val="26"/>
          <w:u w:val="single"/>
        </w:rPr>
        <w:t xml:space="preserve"> 3</w:t>
      </w:r>
      <w:r>
        <w:rPr>
          <w:b/>
          <w:sz w:val="26"/>
          <w:szCs w:val="26"/>
          <w:u w:val="single"/>
        </w:rPr>
        <w:t xml:space="preserve">:</w:t>
      </w: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 соответствии со ст.42 Федерального закона от 13.07.2015 № 218-ФЗ «О государственной регистрации недвижимости» сделка по отчуждению долей в праве общей долевой собственности на недвижимое имущество подлежит нотариальному удостоверению.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осн</w:t>
      </w:r>
      <w:r>
        <w:rPr>
          <w:b/>
          <w:sz w:val="26"/>
          <w:szCs w:val="26"/>
        </w:rPr>
        <w:t xml:space="preserve">овании ст. ст. 209, 246, 250 Гражданского Кодекса РФ, Федерального Закона от 21.12.2001 года № 178-ФЗ «О приватизации государственного и муниципального имущества» объект продажи по стоимости, сложившейся на торгах, будет предложен для выкупа в собственност</w:t>
      </w:r>
      <w:r>
        <w:rPr>
          <w:b/>
          <w:sz w:val="26"/>
          <w:szCs w:val="26"/>
        </w:rPr>
        <w:t xml:space="preserve">ь сособственнику объекта. В случае отказа сособственника от подписания договора купли-продажи, он утрачивает преимущественное право приобретения объекта продажи по данной стоимости, договор купли-продажи будет заключен с победителем торгов по данному лоту.</w:t>
      </w:r>
      <w:r>
        <w:rPr>
          <w:b/>
          <w:sz w:val="26"/>
          <w:szCs w:val="26"/>
        </w:rPr>
      </w:r>
    </w:p>
    <w:p>
      <w:pPr>
        <w:ind w:firstLine="567"/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 №№ 1</w:t>
      </w:r>
      <w:r>
        <w:rPr>
          <w:color w:val="000000"/>
          <w:sz w:val="26"/>
          <w:szCs w:val="26"/>
          <w:u w:val="single"/>
          <w:lang w:bidi="ru-RU"/>
        </w:rPr>
        <w:t xml:space="preserve">-3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17.12.2025 № 135 и постановлениями администрации города Нижнего Новгорода от 29.01.2026 № 604, от 26.03.2026 № 2214.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Продажи посредством публичного предложения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от 10.06.2025 № 5431379, от 21.07.2025 № 5443871</w:t>
      </w:r>
      <w:r>
        <w:rPr>
          <w:sz w:val="26"/>
          <w:szCs w:val="26"/>
        </w:rPr>
        <w:t xml:space="preserve"> не состоялись в связи с тем,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Аукцион </w:t>
      </w:r>
      <w:r>
        <w:rPr>
          <w:color w:val="000000"/>
          <w:sz w:val="26"/>
          <w:szCs w:val="26"/>
          <w:lang w:bidi="ru-RU"/>
        </w:rPr>
        <w:t xml:space="preserve">от </w:t>
      </w:r>
      <w:r>
        <w:rPr>
          <w:color w:val="000000"/>
          <w:sz w:val="26"/>
          <w:szCs w:val="26"/>
        </w:rPr>
        <w:t xml:space="preserve">11.03.2026 № 5504203</w:t>
      </w:r>
      <w:r>
        <w:rPr>
          <w:sz w:val="26"/>
          <w:szCs w:val="26"/>
        </w:rPr>
        <w:t xml:space="preserve"> по продаже не состоялся в связи тем, что не было подано ни одной заявки на участие либо ни один из претендентов не признан участником.</w:t>
      </w:r>
      <w:r>
        <w:rPr>
          <w:sz w:val="26"/>
          <w:szCs w:val="26"/>
        </w:rPr>
      </w:r>
    </w:p>
    <w:p>
      <w:pPr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лоту № 4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17.12.2025 № 135 и постановлениями администрации города Нижнего Новгорода от 29.01.2026 № 604, от 26.03.2026 № 2214.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Аукцион </w:t>
      </w:r>
      <w:r>
        <w:rPr>
          <w:color w:val="000000"/>
          <w:sz w:val="26"/>
          <w:szCs w:val="26"/>
          <w:lang w:bidi="ru-RU"/>
        </w:rPr>
        <w:t xml:space="preserve">от </w:t>
      </w:r>
      <w:r>
        <w:rPr>
          <w:color w:val="000000"/>
          <w:sz w:val="26"/>
          <w:szCs w:val="26"/>
        </w:rPr>
        <w:t xml:space="preserve">11.03.2026 № 5504203</w:t>
      </w:r>
      <w:r>
        <w:rPr>
          <w:sz w:val="26"/>
          <w:szCs w:val="26"/>
        </w:rPr>
        <w:t xml:space="preserve"> по продаже не состоялся в связи тем, что не было подано ни одной заявки на участие либо ни один из претендентов не признан участником.</w:t>
      </w:r>
      <w:r>
        <w:rPr>
          <w:sz w:val="26"/>
          <w:szCs w:val="26"/>
        </w:rPr>
      </w:r>
    </w:p>
    <w:p>
      <w:pPr>
        <w:jc w:val="both"/>
        <w:tabs>
          <w:tab w:val="num" w:pos="0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 №№ 5-</w:t>
      </w:r>
      <w:r>
        <w:rPr>
          <w:color w:val="000000"/>
          <w:sz w:val="26"/>
          <w:szCs w:val="26"/>
          <w:u w:val="single"/>
          <w:lang w:bidi="ru-RU"/>
        </w:rPr>
        <w:t xml:space="preserve">8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17.12.2025 № 135 и постановлениями администрации города Нижнего Новгорода от 29.01.2026 № 604, от 26.03.2026 № 2214.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Аукцион </w:t>
      </w:r>
      <w:r>
        <w:rPr>
          <w:color w:val="000000"/>
          <w:sz w:val="26"/>
          <w:szCs w:val="26"/>
          <w:lang w:bidi="ru-RU"/>
        </w:rPr>
        <w:t xml:space="preserve">от </w:t>
      </w:r>
      <w:r>
        <w:rPr>
          <w:color w:val="000000"/>
          <w:sz w:val="26"/>
          <w:szCs w:val="26"/>
        </w:rPr>
        <w:t xml:space="preserve">16.03.2026 № 5505324</w:t>
      </w:r>
      <w:r>
        <w:rPr>
          <w:sz w:val="26"/>
          <w:szCs w:val="26"/>
        </w:rPr>
        <w:t xml:space="preserve"> по продаже не состоялся в связи тем, что не было подано ни одной заявки на участие либо ни один из претендентов не признан участником.</w:t>
      </w:r>
      <w:r>
        <w:rPr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 №№ 9</w:t>
      </w:r>
      <w:r>
        <w:rPr>
          <w:color w:val="000000"/>
          <w:sz w:val="26"/>
          <w:szCs w:val="26"/>
          <w:u w:val="single"/>
          <w:lang w:bidi="ru-RU"/>
        </w:rPr>
        <w:t xml:space="preserve">-</w:t>
      </w:r>
      <w:r>
        <w:rPr>
          <w:color w:val="000000"/>
          <w:sz w:val="26"/>
          <w:szCs w:val="26"/>
          <w:u w:val="single"/>
          <w:lang w:bidi="ru-RU"/>
        </w:rPr>
        <w:t xml:space="preserve">10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17.12.2025 № 135 и постановлениями администрации города Нижнего Новгорода от 29.01.2026 № 604, от 26.03.2026 № 2214.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Аукцион </w:t>
      </w:r>
      <w:r>
        <w:rPr>
          <w:color w:val="000000"/>
          <w:sz w:val="26"/>
          <w:szCs w:val="26"/>
          <w:lang w:bidi="ru-RU"/>
        </w:rPr>
        <w:t xml:space="preserve">от </w:t>
      </w:r>
      <w:r>
        <w:rPr>
          <w:color w:val="000000"/>
          <w:sz w:val="26"/>
          <w:szCs w:val="26"/>
        </w:rPr>
        <w:t xml:space="preserve">18.03.2026 № 5505874</w:t>
      </w:r>
      <w:r>
        <w:rPr>
          <w:sz w:val="26"/>
          <w:szCs w:val="26"/>
        </w:rPr>
        <w:t xml:space="preserve"> по продаже не состоялся в связи тем, что не было подано ни одной заявки на участие либо ни один из претендентов не признан участником.</w:t>
      </w:r>
      <w:r>
        <w:rPr>
          <w:sz w:val="26"/>
          <w:szCs w:val="26"/>
        </w:rPr>
      </w:r>
    </w:p>
    <w:p>
      <w:pPr>
        <w:jc w:val="both"/>
        <w:tabs>
          <w:tab w:val="num" w:pos="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tabs>
          <w:tab w:val="num" w:pos="0" w:leader="none"/>
        </w:tabs>
        <w:rPr>
          <w:sz w:val="26"/>
          <w:szCs w:val="26"/>
        </w:rPr>
      </w:pPr>
      <w:r>
        <w:rPr>
          <w:color w:val="000000"/>
          <w:sz w:val="26"/>
          <w:szCs w:val="26"/>
          <w:u w:val="single"/>
          <w:lang w:bidi="ru-RU"/>
        </w:rPr>
        <w:t xml:space="preserve">По лотам №№ </w:t>
      </w:r>
      <w:r>
        <w:rPr>
          <w:color w:val="000000"/>
          <w:sz w:val="26"/>
          <w:szCs w:val="26"/>
          <w:u w:val="single"/>
          <w:lang w:bidi="ru-RU"/>
        </w:rPr>
        <w:t xml:space="preserve">11</w:t>
      </w:r>
      <w:r>
        <w:rPr>
          <w:color w:val="000000"/>
          <w:sz w:val="26"/>
          <w:szCs w:val="26"/>
          <w:u w:val="single"/>
          <w:lang w:bidi="ru-RU"/>
        </w:rPr>
        <w:t xml:space="preserve">-</w:t>
      </w:r>
      <w:r>
        <w:rPr>
          <w:color w:val="000000"/>
          <w:sz w:val="26"/>
          <w:szCs w:val="26"/>
          <w:u w:val="single"/>
          <w:lang w:bidi="ru-RU"/>
        </w:rPr>
        <w:t xml:space="preserve">12</w:t>
      </w:r>
      <w:r>
        <w:rPr>
          <w:color w:val="000000"/>
          <w:sz w:val="26"/>
          <w:szCs w:val="26"/>
          <w:lang w:bidi="ru-RU"/>
        </w:rPr>
        <w:t xml:space="preserve"> </w:t>
      </w:r>
      <w:r>
        <w:rPr>
          <w:sz w:val="26"/>
          <w:szCs w:val="26"/>
        </w:rPr>
        <w:t xml:space="preserve">решение об условиях приватизации принято решением городской Думы города Нижнего Новгорода от 17.12.2025 № 135 и постановлениями администрации города Нижнего Новгорода от 29.01.2026 № 604, от 26.03.2026 № 2214.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Продажа</w:t>
      </w:r>
      <w:r>
        <w:rPr>
          <w:sz w:val="26"/>
          <w:szCs w:val="26"/>
        </w:rPr>
        <w:t xml:space="preserve"> посредством публичного предложения от 09</w:t>
      </w:r>
      <w:r>
        <w:rPr>
          <w:sz w:val="26"/>
          <w:szCs w:val="26"/>
        </w:rPr>
        <w:t xml:space="preserve">.04.2025 № 5414897 не состоялась</w:t>
      </w:r>
      <w:r>
        <w:rPr>
          <w:sz w:val="26"/>
          <w:szCs w:val="26"/>
        </w:rPr>
        <w:t xml:space="preserve"> в связи с тем, что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продажи.</w:t>
      </w:r>
      <w:r>
        <w:rPr>
          <w:sz w:val="26"/>
          <w:szCs w:val="26"/>
        </w:rPr>
      </w:r>
    </w:p>
    <w:p>
      <w:pPr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Аукцион </w:t>
      </w:r>
      <w:r>
        <w:rPr>
          <w:color w:val="000000"/>
          <w:sz w:val="26"/>
          <w:szCs w:val="26"/>
          <w:lang w:bidi="ru-RU"/>
        </w:rPr>
        <w:t xml:space="preserve">от </w:t>
      </w:r>
      <w:r>
        <w:rPr>
          <w:color w:val="000000"/>
          <w:sz w:val="26"/>
          <w:szCs w:val="26"/>
        </w:rPr>
        <w:t xml:space="preserve">18.03.2026 № 5505874</w:t>
      </w:r>
      <w:r>
        <w:rPr>
          <w:sz w:val="26"/>
          <w:szCs w:val="26"/>
        </w:rPr>
        <w:t xml:space="preserve"> по продаже не состоялся в связи тем, что не было подано ни одной заявки на участие либо ни один из претендентов не признан участником.</w:t>
      </w:r>
      <w:r>
        <w:rPr>
          <w:color w:val="000000"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Начало приема заявок на участие в продаже посредством публичного предложения</w:t>
      </w:r>
      <w:r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03.04</w:t>
      </w:r>
      <w:r>
        <w:rPr>
          <w:sz w:val="26"/>
          <w:szCs w:val="26"/>
        </w:rPr>
        <w:t xml:space="preserve">.2026</w:t>
      </w:r>
      <w:r>
        <w:rPr>
          <w:sz w:val="26"/>
          <w:szCs w:val="26"/>
        </w:rPr>
        <w:t xml:space="preserve"> в 15:00.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Окончание приема заявок на участие в продаже посредством публичного предложения</w:t>
      </w:r>
      <w:r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29.04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2026</w:t>
      </w:r>
      <w:r>
        <w:rPr>
          <w:sz w:val="26"/>
          <w:szCs w:val="26"/>
        </w:rPr>
        <w:t xml:space="preserve"> в 15:00.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Срок поступления задатка на счет организатора (дата и время блокирования задатка)</w:t>
      </w:r>
      <w:r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29.04</w:t>
      </w:r>
      <w:r>
        <w:rPr>
          <w:sz w:val="26"/>
          <w:szCs w:val="26"/>
        </w:rPr>
        <w:t xml:space="preserve">.2026</w:t>
      </w:r>
      <w:r>
        <w:rPr>
          <w:sz w:val="26"/>
          <w:szCs w:val="26"/>
        </w:rPr>
        <w:t xml:space="preserve"> до 15:00.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Определение участников продажи посредством публичного предложения</w:t>
      </w:r>
      <w:r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05.05</w:t>
      </w:r>
      <w:r>
        <w:rPr>
          <w:sz w:val="26"/>
          <w:szCs w:val="26"/>
        </w:rPr>
        <w:t xml:space="preserve">.2026</w:t>
      </w:r>
      <w:r>
        <w:rPr>
          <w:sz w:val="26"/>
          <w:szCs w:val="26"/>
        </w:rPr>
        <w:t xml:space="preserve"> до 23:59.</w:t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Проведение продажи (дата и время начала приема предложений от участников продажи)</w:t>
      </w:r>
      <w:r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  <w:u w:val="single"/>
        </w:rPr>
        <w:t xml:space="preserve">06.05</w:t>
      </w:r>
      <w:r>
        <w:rPr>
          <w:b/>
          <w:sz w:val="26"/>
          <w:szCs w:val="26"/>
          <w:u w:val="single"/>
        </w:rPr>
        <w:t xml:space="preserve">.2026</w:t>
      </w:r>
      <w:r>
        <w:rPr>
          <w:b/>
          <w:sz w:val="26"/>
          <w:szCs w:val="26"/>
          <w:u w:val="single"/>
        </w:rPr>
        <w:t xml:space="preserve"> в </w:t>
      </w:r>
      <w:r>
        <w:rPr>
          <w:b/>
          <w:sz w:val="26"/>
          <w:szCs w:val="26"/>
          <w:u w:val="single"/>
        </w:rPr>
        <w:t xml:space="preserve">09</w:t>
      </w:r>
      <w:r>
        <w:rPr>
          <w:b/>
          <w:sz w:val="26"/>
          <w:szCs w:val="26"/>
          <w:u w:val="single"/>
        </w:rPr>
        <w:t xml:space="preserve">:30</w:t>
      </w:r>
      <w:r>
        <w:rPr>
          <w:b/>
          <w:sz w:val="30"/>
          <w:szCs w:val="30"/>
          <w:u w:val="single"/>
        </w:rPr>
        <w:t xml:space="preserve">.</w:t>
      </w:r>
      <w:r>
        <w:rPr>
          <w:sz w:val="26"/>
          <w:szCs w:val="26"/>
        </w:rPr>
      </w:r>
    </w:p>
    <w:p>
      <w:pPr>
        <w:jc w:val="both"/>
        <w:tabs>
          <w:tab w:val="num" w:pos="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Подведение итогов продажи посредством публичного предложения:</w:t>
      </w:r>
      <w:r>
        <w:rPr>
          <w:sz w:val="26"/>
          <w:szCs w:val="26"/>
        </w:rPr>
        <w:t xml:space="preserve"> процедура продажи считается завершенной со времени</w:t>
      </w:r>
      <w:r>
        <w:rPr>
          <w:rFonts w:eastAsia="Calibri"/>
          <w:sz w:val="26"/>
          <w:szCs w:val="26"/>
        </w:rPr>
        <w:t xml:space="preserve"> подписания продавцом протокола об итогах продажи.</w:t>
      </w:r>
      <w:r>
        <w:rPr>
          <w:b/>
          <w:sz w:val="26"/>
          <w:szCs w:val="26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30"/>
          <w:szCs w:val="30"/>
          <w:u w:val="single"/>
          <w:lang w:val="ru-RU"/>
        </w:rPr>
      </w:pPr>
      <w:r>
        <w:rPr>
          <w:rFonts w:eastAsia="Calibri"/>
          <w:bCs/>
          <w:color w:val="000000"/>
          <w:sz w:val="30"/>
          <w:szCs w:val="30"/>
          <w:u w:val="single"/>
          <w:lang w:val="ru-RU"/>
        </w:rPr>
      </w:r>
      <w:r>
        <w:rPr>
          <w:rFonts w:eastAsia="Calibri"/>
          <w:bCs/>
          <w:color w:val="000000"/>
          <w:sz w:val="30"/>
          <w:szCs w:val="30"/>
          <w:u w:val="single"/>
          <w:lang w:val="ru-RU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вопро</w:t>
      </w:r>
      <w:r>
        <w:rPr>
          <w:b/>
          <w:sz w:val="26"/>
          <w:szCs w:val="26"/>
        </w:rPr>
        <w:t xml:space="preserve">сам организации осмотра и технического состояния выставленного на продажу муниципального имущества обращаться в муниципальное казенное учреждение «Дирекция по эксплуатации муниципальных объектов недвижимого имущества города Нижнего Новгорода» по телефонам: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Автозаводский район, Ленинский район: 251-47-57;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Нижегородский район, Советский район, </w:t>
      </w:r>
      <w:r>
        <w:rPr>
          <w:b/>
          <w:sz w:val="26"/>
          <w:szCs w:val="26"/>
        </w:rPr>
        <w:t xml:space="preserve">Приокский</w:t>
      </w:r>
      <w:r>
        <w:rPr>
          <w:b/>
          <w:sz w:val="26"/>
          <w:szCs w:val="26"/>
        </w:rPr>
        <w:t xml:space="preserve"> район: 430-00-57;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Сормовский</w:t>
      </w:r>
      <w:r>
        <w:rPr>
          <w:b/>
          <w:sz w:val="26"/>
          <w:szCs w:val="26"/>
        </w:rPr>
        <w:t xml:space="preserve"> район, Канавинский район, Московский район: 222-22-65;</w:t>
      </w:r>
      <w:r>
        <w:rPr>
          <w:b/>
          <w:sz w:val="26"/>
          <w:szCs w:val="26"/>
        </w:rPr>
      </w:r>
    </w:p>
    <w:p>
      <w:pPr>
        <w:ind w:firstLine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 xml:space="preserve">Кстовский</w:t>
      </w:r>
      <w:r>
        <w:rPr>
          <w:b/>
          <w:sz w:val="26"/>
          <w:szCs w:val="26"/>
        </w:rPr>
        <w:t xml:space="preserve"> район: 453-92-50 (доб.324).</w:t>
      </w:r>
      <w:r>
        <w:rPr>
          <w:b/>
          <w:sz w:val="26"/>
          <w:szCs w:val="26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По дополнительным вопросам обращаться в отдел приватизации и организации продаж комитета по управлению городским имуществом и земельными ресурсами администрации города Нижнего Новгорода по телефону: 435-69-24.</w:t>
      </w:r>
      <w:r>
        <w:rPr>
          <w:sz w:val="26"/>
          <w:szCs w:val="26"/>
          <w:lang w:val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Наличие электронной подп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и отправитель несет ответственность за подлинность и достоверн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Организатора).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Информационное сообщение о проведении продажи имущества посредством публичного предложения и условиях её проведения явля</w:t>
      </w:r>
      <w:r>
        <w:rPr>
          <w:rFonts w:eastAsia="Calibri"/>
          <w:color w:val="000000"/>
          <w:sz w:val="26"/>
          <w:szCs w:val="26"/>
        </w:rPr>
        <w:t xml:space="preserve">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письменной форме.</w:t>
      </w:r>
      <w:r>
        <w:rPr>
          <w:rFonts w:eastAsia="Calibri"/>
          <w:color w:val="000000"/>
          <w:sz w:val="26"/>
          <w:szCs w:val="26"/>
        </w:rPr>
      </w:r>
    </w:p>
    <w:p>
      <w:pPr>
        <w:pStyle w:val="768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color w:val="000000"/>
        </w:rPr>
        <w:t xml:space="preserve">Задаток</w:t>
      </w:r>
      <w:r>
        <w:rPr>
          <w:b w:val="0"/>
          <w:color w:val="000000"/>
        </w:rPr>
        <w:t xml:space="preserve"> для участия в про</w:t>
      </w:r>
      <w:r>
        <w:rPr>
          <w:b w:val="0"/>
          <w:color w:val="000000"/>
        </w:rPr>
        <w:t xml:space="preserve">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на расчетный счет Претендента, открытый при регистрации на электронной площадке.</w:t>
      </w:r>
      <w:r>
        <w:rPr>
          <w:b w:val="0"/>
          <w:color w:val="000000"/>
        </w:rPr>
      </w:r>
    </w:p>
    <w:p>
      <w:pPr>
        <w:pStyle w:val="768"/>
        <w:ind w:firstLine="426"/>
        <w:jc w:val="both"/>
        <w:spacing w:before="0"/>
        <w:tabs>
          <w:tab w:val="left" w:pos="284" w:leader="none"/>
        </w:tabs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  <w:r>
        <w:rPr>
          <w:b w:val="0"/>
          <w:color w:val="000000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Лицам, перечислившим задаток для участия в продаже имущества посредством публичного предложения, денежные средства возвращаются в следующем порядке: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а) участникам, за исключением победителя, а также претендентам, отозвавшим заявки позднее дня окончания приема заявок, - в течение 5 календарных дней со дня подведения итогов продажи имущества;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б) претендентам</w:t>
      </w:r>
      <w:r>
        <w:rPr>
          <w:color w:val="000000"/>
          <w:sz w:val="26"/>
          <w:szCs w:val="26"/>
        </w:rPr>
        <w:t xml:space="preserve">, не допущенным к участию в продаже имущества,</w:t>
      </w:r>
      <w:r>
        <w:rPr>
          <w:rFonts w:eastAsia="Calibri"/>
          <w:color w:val="000000"/>
          <w:sz w:val="26"/>
          <w:szCs w:val="26"/>
        </w:rPr>
        <w:t xml:space="preserve"> а также претендентам, отозвавшим заявки не позднее дня окончания приема заявок, </w:t>
      </w:r>
      <w:r>
        <w:rPr>
          <w:color w:val="000000"/>
          <w:sz w:val="26"/>
          <w:szCs w:val="26"/>
        </w:rPr>
        <w:t xml:space="preserve">- в течение 5 календарных дней со дня подписания протокола о признании претендентов участниками.</w:t>
      </w:r>
      <w:r>
        <w:rPr>
          <w:color w:val="000000"/>
          <w:sz w:val="26"/>
          <w:szCs w:val="26"/>
        </w:rPr>
      </w:r>
    </w:p>
    <w:p>
      <w:pPr>
        <w:pStyle w:val="768"/>
        <w:ind w:firstLine="426"/>
        <w:jc w:val="both"/>
        <w:spacing w:before="0"/>
        <w:rPr>
          <w:b w:val="0"/>
          <w:color w:val="000000"/>
        </w:rPr>
        <w:outlineLvl w:val="0"/>
      </w:pPr>
      <w:r>
        <w:rPr>
          <w:b w:val="0"/>
          <w:color w:val="000000"/>
        </w:rPr>
        <w:t xml:space="preserve">Задаток победителя продажи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срока, установленного для заключения договора купли-продажи имущества.</w:t>
      </w:r>
      <w:r>
        <w:rPr>
          <w:b w:val="0"/>
          <w:color w:val="000000"/>
        </w:rPr>
      </w:r>
    </w:p>
    <w:p>
      <w:pPr>
        <w:ind w:firstLine="426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Сумма задатка не возвращается при уклонении или отказе победителя продажи:</w:t>
      </w:r>
      <w:r>
        <w:rPr>
          <w:b/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заключения в течение пяти рабочих дней со дня подведения итогов продажи договора купли-продажи (результаты продажи аннулируются Продавцом); </w:t>
      </w:r>
      <w:r>
        <w:rPr>
          <w:color w:val="000000"/>
          <w:sz w:val="26"/>
          <w:szCs w:val="26"/>
        </w:rPr>
      </w:r>
    </w:p>
    <w:p>
      <w:pPr>
        <w:ind w:firstLine="426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от исполнения покупателем обязательств по оплате по договору купли-продажи.</w:t>
      </w:r>
      <w:r>
        <w:rPr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b/>
          <w:color w:val="000000"/>
          <w:sz w:val="30"/>
          <w:szCs w:val="30"/>
          <w:u w:val="single"/>
        </w:rPr>
        <w:t xml:space="preserve">Оплата имущества, приобретенного на продаже посредством публичного предложения, производится победителем продажи единовременно в соответствии с договором купли-</w:t>
      </w:r>
      <w:r>
        <w:rPr>
          <w:rFonts w:eastAsia="Calibri"/>
          <w:b/>
          <w:color w:val="000000"/>
          <w:sz w:val="30"/>
          <w:szCs w:val="30"/>
          <w:u w:val="single"/>
        </w:rPr>
        <w:t xml:space="preserve">продажи в течение 15 (пятнадцати) календарных дней со дня его заключения.</w:t>
      </w:r>
      <w:r>
        <w:rPr>
          <w:rFonts w:eastAsia="Calibri"/>
          <w:color w:val="000000"/>
          <w:sz w:val="26"/>
          <w:szCs w:val="26"/>
        </w:rPr>
        <w:t xml:space="preserve"> Задаток, внесенный покупателем, засчитывается в оплату приобретенного имущества и перечисляется Организатором на счет Продавца в течение 5 (пяти) календарных дней со дня истечения срока, установленного для заключения договора купли-пр</w:t>
      </w:r>
      <w:r>
        <w:rPr>
          <w:rFonts w:eastAsia="Calibri"/>
          <w:color w:val="000000"/>
          <w:sz w:val="26"/>
          <w:szCs w:val="26"/>
        </w:rPr>
        <w:t xml:space="preserve">одажи. Подтверждением оплаты имущества является акт приема-передачи имущества.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Оплата имущества, приобретаемого на </w:t>
      </w:r>
      <w:r>
        <w:rPr>
          <w:sz w:val="26"/>
          <w:szCs w:val="26"/>
          <w:u w:val="single"/>
        </w:rPr>
        <w:t xml:space="preserve">торгах</w:t>
      </w:r>
      <w:r>
        <w:rPr>
          <w:sz w:val="26"/>
          <w:szCs w:val="26"/>
          <w:u w:val="single"/>
        </w:rPr>
        <w:t xml:space="preserve">, производится победителем путем перечисления денежных средств по следующим реквизитам: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Получатель: УФК по Нижегородской области (Комитет по управлению городским имуществом и земельными ресурсами администрации города Н.Новгорода, </w:t>
      </w:r>
      <w:r>
        <w:rPr>
          <w:b/>
          <w:sz w:val="26"/>
          <w:szCs w:val="26"/>
        </w:rPr>
        <w:t xml:space="preserve">л</w:t>
      </w:r>
      <w:r>
        <w:rPr>
          <w:b/>
          <w:sz w:val="26"/>
          <w:szCs w:val="26"/>
        </w:rPr>
        <w:t xml:space="preserve">/с 04323024880), ИНН 5253000265, БИК 012202102, КПП 526001001, ОКТМО 22701000, </w:t>
      </w:r>
      <w:r>
        <w:rPr>
          <w:b/>
          <w:sz w:val="26"/>
          <w:szCs w:val="26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казначейский счет: 03100643000000013200, единый казначейский счет: 40102810745370000024,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Код бюджетной классификации: 36611413040041000410.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</w:r>
      <w:r>
        <w:rPr>
          <w:sz w:val="26"/>
          <w:szCs w:val="26"/>
          <w:u w:val="single"/>
        </w:rPr>
      </w:r>
    </w:p>
    <w:p>
      <w:pPr>
        <w:ind w:firstLine="426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Реквизиты для перечисления налога на добавленную стоимость (в случае, если победитель является физическим лицом, не зарегистрированным в качестве  индивидуального предпринимателя):</w:t>
      </w:r>
      <w:r>
        <w:rPr>
          <w:sz w:val="26"/>
          <w:szCs w:val="26"/>
          <w:u w:val="single"/>
        </w:rPr>
      </w:r>
    </w:p>
    <w:p>
      <w:pPr>
        <w:jc w:val="both"/>
        <w:rPr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Получатель: УФК по Нижегородской области (Департамент финансов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.Н.Новгорода, Комитет по управлению городским имуществом и земельными ресурсами администрации города Нижнего Новгорода), ИНН 5253000265, БИК 012202102, КПП 526001001, банк: ОКЦ №1 ВВГУ Банка России//УФК по Нижегородской области, </w:t>
      </w:r>
      <w:r>
        <w:rPr>
          <w:b/>
          <w:sz w:val="26"/>
          <w:szCs w:val="26"/>
        </w:rPr>
        <w:t xml:space="preserve">г</w:t>
      </w:r>
      <w:r>
        <w:rPr>
          <w:b/>
          <w:sz w:val="26"/>
          <w:szCs w:val="26"/>
        </w:rPr>
        <w:t xml:space="preserve"> Нижний Новгород, казначейский счет: 03232643227010003200, единый казначейский счет: 40102810745370000024. </w:t>
      </w:r>
      <w:r>
        <w:rPr>
          <w:sz w:val="26"/>
          <w:szCs w:val="26"/>
          <w:u w:val="single"/>
        </w:rPr>
      </w:r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Назначение платежа – «(05143660026) - оплата суммы НДС по договору купли-продажи </w:t>
      </w:r>
      <w:r>
        <w:rPr>
          <w:b/>
          <w:sz w:val="26"/>
          <w:szCs w:val="26"/>
        </w:rPr>
        <w:t xml:space="preserve">от</w:t>
      </w:r>
      <w:r>
        <w:rPr>
          <w:b/>
          <w:sz w:val="26"/>
          <w:szCs w:val="26"/>
        </w:rPr>
        <w:t xml:space="preserve"> __________ № _____».</w:t>
      </w:r>
      <w:r>
        <w:rPr>
          <w:b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</w:t>
      </w:r>
      <w:r>
        <w:rPr>
          <w:rFonts w:eastAsia="Calibri"/>
          <w:color w:val="000000"/>
          <w:sz w:val="26"/>
          <w:szCs w:val="26"/>
        </w:rPr>
        <w:t xml:space="preserve">оплачивают НДС </w:t>
      </w:r>
      <w:r>
        <w:rPr>
          <w:sz w:val="26"/>
          <w:szCs w:val="26"/>
          <w:lang w:bidi="ru-RU"/>
        </w:rPr>
        <w:t xml:space="preserve">на соответствующий счет</w:t>
      </w:r>
      <w:r>
        <w:rPr>
          <w:sz w:val="26"/>
          <w:szCs w:val="26"/>
          <w:lang w:bidi="ru-RU"/>
        </w:rPr>
        <w:t xml:space="preserve"> отделения Федерального казначейства, предназначенный для зачисления НДС</w:t>
      </w:r>
      <w:r>
        <w:rPr>
          <w:rFonts w:eastAsia="Calibri"/>
          <w:color w:val="000000"/>
          <w:sz w:val="26"/>
          <w:szCs w:val="26"/>
        </w:rPr>
        <w:t xml:space="preserve">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Форма оплаты по договору купли-продажи: безналичная. </w:t>
      </w:r>
      <w:r>
        <w:rPr>
          <w:rFonts w:eastAsia="Calibri"/>
          <w:color w:val="000000"/>
          <w:sz w:val="26"/>
          <w:szCs w:val="26"/>
        </w:rPr>
      </w:r>
    </w:p>
    <w:p>
      <w:pPr>
        <w:ind w:firstLine="426"/>
        <w:jc w:val="both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 xml:space="preserve">Договор купли-продажи имущества заключается с победителем в течение 5 (пяти) рабочих дней со дня подведения итогов продажи. </w:t>
      </w:r>
      <w:r>
        <w:rPr>
          <w:rFonts w:eastAsia="Calibri"/>
          <w:b/>
          <w:color w:val="000000"/>
          <w:sz w:val="26"/>
          <w:szCs w:val="26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 участию в продаже муниципального имущества посредством публичного предложения допускаются лица, признаваемые в соответствии со статьей 5 </w:t>
      </w:r>
      <w:r>
        <w:rPr>
          <w:b w:val="0"/>
          <w:sz w:val="26"/>
          <w:szCs w:val="26"/>
          <w:lang w:val="ru-RU"/>
        </w:rPr>
        <w:t xml:space="preserve">Закона о приватизации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Покупа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телями, своевременно подавшие заявку и представившие надлежащим образом оформленные документы в соответствии с перечнем, объявленным в информационном сообщении, задатки которых поступили на счет Организатора в установленный в информационном сообщении срок.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766"/>
        <w:ind w:firstLine="426"/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Исчерпывающий перечень представляемых участниками продажи документов, требования к их оформлению: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(приложение №1 к информационному сообщению) пода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ется путем заполнения ее электронной формы (заполненный файл с заявкой загружается на электронную площадку), размещенной в открытой для доступа неограниченного круга лиц части электронной площадки (далее - открытая часть электронной площадки), с приложение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м электронных образов необходимых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подписью, предусмотренных Федеральным законом о приватизации:</w:t>
      </w:r>
      <w:r>
        <w:rPr>
          <w:lang w:val="ru-RU"/>
        </w:rPr>
        <w:t xml:space="preserve"> </w:t>
      </w:r>
      <w:r>
        <w:rPr>
          <w:lang w:val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Для участия в продаже посредством публичного предложения о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дновременно с заявкой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(приложение 1 к информационному сообщению)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 представляются документы: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Юридические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 лиц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а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: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на участие в продаже, заполненная в форме электронного документа (Приложение № 1);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заверенные копии учредительных документов;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-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документ,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содержащий сведения о доле Российской Фе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документ, который подтвержд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дического лица без доверенности.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  <w:t xml:space="preserve">Физические лица, в том числе индивидуальные предприниматели:</w:t>
      </w:r>
      <w:r>
        <w:rPr>
          <w:rFonts w:eastAsia="Calibri"/>
          <w:bCs/>
          <w:color w:val="000000"/>
          <w:sz w:val="26"/>
          <w:szCs w:val="26"/>
          <w:u w:val="single"/>
          <w:lang w:val="ru-RU" w:eastAsia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заявка на участие в продаже, заполненная в форме электронного документа (Приложение № 1);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-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копии всех листов документа, удостоверяющего личность (в случае представления копии паспорта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гражданина Российской Федерации необходимо в соответствии с действующим законодательством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представить копии 20 (двадцати) страниц паспорта: от 1-ой страницы с изображением Государственного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герба Российской Федерации по 20-ую страницу с «Извлечением из Положения о паспорте гражданина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Российской Федерации» включительно).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Cs/>
          <w:color w:val="000000"/>
          <w:sz w:val="26"/>
          <w:szCs w:val="26"/>
          <w:lang w:val="ru-RU" w:eastAsia="ru-RU"/>
        </w:rPr>
        <w:t xml:space="preserve">Файл с заявкой и документы необходимо загрузить на электронную площадку.</w:t>
      </w:r>
      <w:r>
        <w:rPr>
          <w:rFonts w:eastAsia="Calibri"/>
          <w:bCs/>
          <w:color w:val="000000"/>
          <w:sz w:val="26"/>
          <w:szCs w:val="26"/>
          <w:lang w:val="ru-RU" w:eastAsia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Документы (копии документов), входящие в состав заявки, должны иметь четко читаемый текст.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В случае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,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Требования к документам: указанные документы в части их оформ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  <w:t xml:space="preserve">ления и содержания должны соответствовать требованиям законодательства Российской Федерации; представленные иностранными юридическими лицами документы должны быть легализированы на территории Российской Федерации и иметь заверенный перевод на русский язык.</w:t>
      </w:r>
      <w:r>
        <w:rPr>
          <w:rFonts w:eastAsia="Calibri"/>
          <w:b w:val="0"/>
          <w:bCs/>
          <w:color w:val="000000"/>
          <w:sz w:val="26"/>
          <w:szCs w:val="26"/>
          <w:lang w:val="ru-RU" w:eastAsia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Заявка и иные представленные одновременно с ней документы подаются в форме электронных документов.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Заявки подаются на электронную площадку начиная с даты начала приема заявок до времени и даты окончания приема заявок, указанных в информационном сообщении. Одно лицо имеет право подать только одну заявку.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приеме заявок от Претендентов Организатор обеспечивает конфиденциальность данных о Претендентах и участниках.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обеспечивает - принятие и регистрацию в электронных журналах заявок и прилагаемых к ним документов, уведомление претендентов о принятом Продавцом решении о признании их участниками либо об отказе в допуске к участию в продаже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  <w:r>
        <w:rPr>
          <w:sz w:val="26"/>
          <w:szCs w:val="26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ознакомления участников торгов с условиями договора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заключаемого по итогам проведения торгов, порядок предоставления разъяснений положений информационного сообщения и осмотр объектов нежилого фонда: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 условиями договора, заключаемого по итогам проведения торгов,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- </w:t>
      </w:r>
      <w:hyperlink r:id="rId12" w:tooltip="http://www.torgi.gov.ru" w:history="1">
        <w:r>
          <w:rPr>
            <w:rFonts w:eastAsia="Calibri"/>
            <w:b w:val="0"/>
            <w:bCs/>
            <w:color w:val="000000"/>
            <w:sz w:val="26"/>
            <w:szCs w:val="26"/>
            <w:lang w:val="ru-RU"/>
          </w:rPr>
          <w:t xml:space="preserve">www.torgi.gov.ru</w:t>
        </w:r>
      </w:hyperlink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,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www.нижнийновгород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.р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ф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и на электронной площадке www.fabrikant.ru (приложение №2 к информационному сообщению).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ционного сообщения и необходимостью ознакомления с иной дополнительной  информацией.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й до даты окончания подачи заявок. 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Любое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заинтересованное лицо независимо от регистрации на электронной площадке с даты размещения информационного сообщения на официальном сайте торгов до даты окончания срока приема заявок на участие в продаже вправе осмотреть выставленное на продажу имущество.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284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ab/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регистрации на электронной площадке.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обеспечения доступа к участию в электронной продаже Претендентам необходимо пройти процедуру регистрации на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осуществляется без взимания платы.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Регистрации на электронной площадке подлежат Претенденты, ранее не зарегистрированные на электронной площадке или регистрация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которых на электронной площадке была ими прекращена.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Регистрация на электронной площадке проводится в соответствии с Регламентом электронной площадки https://www.fabrikant.ru.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Претендент не допускается к участию в продаже по следующим основаниям: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Не</w:t>
      </w:r>
      <w:r>
        <w:rPr>
          <w:rFonts w:eastAsia="Calibri"/>
          <w:b w:val="0"/>
          <w:bCs/>
          <w:color w:val="ff0000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Заявка подана лицом, не уполномоченным Претендентом на осуществление таких действий.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Перечень указанных оснований отказа Претенденту в участии в продаже является исчерпывающим.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и срок отзыва заявок, порядок внесения изменений в заявку.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вправе не позднее дня окончания приема заявок отозвать заявку путем направления у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ведомления об отзыве заявки на электронную площадку.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Продавец вправе: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766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отказаться от проведения продажи не позднее чем за 3 (три) дня до даты проведения продажи.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задатки возвращаются заявителям в течение 5 (пяти) дней с даты публикации извещения об отказе от проведения продажи на официальных сайтах торгов, электронной площадке.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«личный кабинет» Претендентов.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-принять решение о внесении изменений в информационное сообщение и (или) документацию о продаже не позднее, чем за 5 (пять) дней до даты окончания срока подачи заявок на участие в продаже.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ind w:firstLine="567"/>
        <w:tabs>
          <w:tab w:val="left" w:pos="0" w:leader="none"/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При этом изменения, внесенные в информационное сообщение и (или) документацию о продаже,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9"/>
        <w:ind w:firstLine="567"/>
        <w:jc w:val="both"/>
        <w:tabs>
          <w:tab w:val="left" w:pos="0" w:leader="none"/>
        </w:tabs>
        <w:rPr>
          <w:rFonts w:ascii="Times New Roman" w:hAnsi="Times New Roman" w:eastAsia="Calibri"/>
          <w:bCs/>
          <w:color w:val="000000"/>
          <w:sz w:val="26"/>
          <w:szCs w:val="26"/>
        </w:rPr>
      </w:pP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При внесении изменений срок подачи заявок на участие в продаже продлевается таким образом, чтобы с даты размещения на официальных сайтах торгов внесенных изменений до даты окончания подачи заявок на участие в продаже составлял не менее 30 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  <w:t xml:space="preserve">(тридцати) дней. При этом Продавцы не несут ответственность в случае, если Претендент не ознакомился с изменениями, внесенными в Информационное сообщение и (или) документацию о продаже, размещенными надлежащим образом.</w:t>
      </w:r>
      <w:r>
        <w:rPr>
          <w:rFonts w:ascii="Times New Roman" w:hAnsi="Times New Roman" w:eastAsia="Calibri"/>
          <w:bCs/>
          <w:color w:val="000000"/>
          <w:sz w:val="26"/>
          <w:szCs w:val="26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Правила проведения продажи в электронной форме: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Рассмотрение заявок.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Для участия в продаже имущества посредством публичного предложения Претенденты перечисляют задаток в размере 10 процентов начальной цены продажи имущества в счет обеспечен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ия оплаты приобретаемого имущества и заполняют размещенную в открытой части электронной площадки форму заявки (приложение 1 к информационному сообщению) с приложением электронных документов в соответствии с перечнем, приведенным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день определения участников продажи, указанный в информационном сообщении, Организатор через «личный кабинет» Продавца обеспечивает доступ Продавца к поданным Претендентами заявкам и прилагаемым к ним документам, а также к журналу приема заявок.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Продавец в день рассмотрения заявок и прилагаемых к ним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ных заявок, имена (наименования) Претендентов, признанных участниками продажи, а также имена (наименования) Претендентов, которым было отказано в допуске к участию в продаже имущества посредством публичного предложения, с указанием оснований такого отказа.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Претендент приобретает статус участника продажи с момента подписания протокола о признании Претендентов участниками продажи посредством публичного предложения.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Не позднее следующего рабочего дня после дня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подписания протокола о признании Претендентов участниками продажи всем Претендентам, подавшим заявки,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Информация о Претендентах, не допущенных к участию в продаже, размещается в открытой части электронной площадки и на официальных сайтах торгов.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Проведение процедуры продажи должно состояться не позднее третьего рабочего дня со дня определения участников продажи, указанного в информационном сообщении.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26"/>
          <w:szCs w:val="26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Порядок проведения продажи.</w:t>
      </w:r>
      <w:r>
        <w:rPr>
          <w:rFonts w:eastAsia="Calibri"/>
          <w:bCs/>
          <w:color w:val="000000"/>
          <w:sz w:val="26"/>
          <w:szCs w:val="26"/>
          <w:lang w:val="ru-RU"/>
        </w:rPr>
      </w:r>
    </w:p>
    <w:p>
      <w:pPr>
        <w:ind w:firstLine="54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Процедура продажи имущества проводится в день и во время, указанные в информационном сообщ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"шага понижения", но не ниже цены отсечения.</w:t>
      </w:r>
      <w:r>
        <w:rPr>
          <w:rFonts w:eastAsia="Calibri"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"Шаг понижения"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  <w:r>
        <w:rPr>
          <w:rFonts w:eastAsia="Calibri"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Время приема 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- на представление предложений о цене имущества на каждом "шаге понижения".</w:t>
      </w:r>
      <w:r>
        <w:rPr>
          <w:rFonts w:eastAsia="Calibri"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Победителем признается участник, который подтвердил цену первоначального предложения или цену предложения, сложившуюся на соответствующем "шаге понижения", при отсутствии предложений других участников.</w:t>
      </w:r>
      <w:r>
        <w:rPr>
          <w:rFonts w:eastAsia="Calibri"/>
          <w:b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В случае если несколько участников подтверждают цену первоначального предложения или цену предложения, сложившуюся на одном из "шагов понижения", со всеми участниками проводится аукцион.</w:t>
      </w:r>
      <w:r>
        <w:rPr>
          <w:rFonts w:eastAsia="Calibri"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Начальной ценой имущества на аукционе является соответственно цена первоначального предложения или цена предложения, сложившаяся на данном "шаге понижения". Время приема предложений учас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тников о цене имущества составляет 10 минут. "Шаг аукциона" устанавливается продавцом в фиксированной сумме, составляющей не более 50 процентов "шага понижения", и не изменяется в течение всей процедуры продажи имущества посредством публичного предложения.</w:t>
      </w:r>
      <w:r>
        <w:rPr>
          <w:rFonts w:eastAsia="Calibri"/>
          <w:bCs/>
          <w:color w:val="000000"/>
          <w:sz w:val="26"/>
          <w:szCs w:val="26"/>
          <w:lang w:eastAsia="en-US"/>
        </w:rPr>
      </w:r>
    </w:p>
    <w:p>
      <w:pPr>
        <w:pStyle w:val="766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В случае, если в течение указанного времени: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- поступило предложение об увеличении н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ачальной цены имущества на "шаг аукциона",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завершается. Победителем аукциона признается участник, предложивший наиболее высокую цену имущества. 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pStyle w:val="766"/>
        <w:ind w:firstLine="567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 w:val="0"/>
          <w:bCs/>
          <w:color w:val="000000"/>
          <w:sz w:val="26"/>
          <w:szCs w:val="26"/>
          <w:lang w:val="ru-RU"/>
        </w:rPr>
      </w:pPr>
      <w:r>
        <w:rPr>
          <w:rFonts w:eastAsia="Calibri"/>
          <w:b w:val="0"/>
          <w:bCs/>
          <w:color w:val="000000"/>
          <w:sz w:val="26"/>
          <w:szCs w:val="26"/>
          <w:lang w:val="ru-RU"/>
        </w:rPr>
        <w:t xml:space="preserve"> - участники не заявляют предложения о цене, превышающей начальную цену имущества, то аукцион с помощью программно-аппаратных средств электронной площадки завершается. Победителем признается участник, который первым подтвердил начальную цену имущества.</w:t>
      </w:r>
      <w:r>
        <w:rPr>
          <w:rFonts w:eastAsia="Calibri"/>
          <w:b w:val="0"/>
          <w:bCs/>
          <w:color w:val="000000"/>
          <w:sz w:val="26"/>
          <w:szCs w:val="26"/>
          <w:lang w:val="ru-RU"/>
        </w:rPr>
      </w:r>
    </w:p>
    <w:p>
      <w:pPr>
        <w:ind w:firstLine="54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Со времени начала проведения процедуры продажи имущества посредством публичного предложения организатором размещается:</w:t>
      </w:r>
      <w:r>
        <w:rPr>
          <w:rFonts w:eastAsia="Calibri"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а) в открытой части элект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неподтверждения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) участниками предложения о цене имущества;</w:t>
      </w:r>
      <w:r>
        <w:rPr>
          <w:rFonts w:eastAsia="Calibri"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б) в закрытой части электронной площадки - помимо информации, размещ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аемой в открытой части электронной площадки, также предложения о цене имущества и время их поступления, текущий "шаг понижения" и "шаг аукциона", время, оставшееся до окончания приема предложений о цене первоначального предложения либо на "шаге понижения".</w:t>
      </w:r>
      <w:r>
        <w:rPr>
          <w:rFonts w:eastAsia="Calibri"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Во время проведения процедуры п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родажи имущества посредством публичного предложения организатор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  <w:r>
        <w:rPr>
          <w:rFonts w:eastAsia="Calibri"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Ход проведения процедуры продажи имущества посредством публичного предложения фиксируется организатором в э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  <w:r>
        <w:rPr>
          <w:rFonts w:eastAsia="Calibri"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Протокол об итогах продажи имущества посредством публичн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</w:r>
      <w:r>
        <w:rPr>
          <w:rFonts w:eastAsia="Calibri"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  <w:r>
        <w:rPr>
          <w:rFonts w:eastAsia="Calibri"/>
          <w:b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В течение одного часа со времени по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  <w:r>
        <w:rPr>
          <w:rFonts w:eastAsia="Calibri"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а) наименование имущества и иные позволяющие его индивидуализировать сведения (спецификация лота);</w:t>
      </w:r>
      <w:r>
        <w:rPr>
          <w:rFonts w:eastAsia="Calibri"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б) цена сделки;</w:t>
      </w:r>
      <w:r>
        <w:rPr>
          <w:rFonts w:eastAsia="Calibri"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в) фамилия, имя, отчество физического лица или наименование юридического лица - победителя.</w:t>
      </w:r>
      <w:r>
        <w:rPr>
          <w:rFonts w:eastAsia="Calibri"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Не позднее рабочего дня, следующего за днем подведения итогов продажи, Продавец направляет или выдает под расписку Победителю продажи протокол об итогах продажи на бумажном носителе.</w:t>
      </w:r>
      <w:r>
        <w:rPr>
          <w:rFonts w:eastAsia="Calibri"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Продажа имущества посредством публичного предложения признается несостоявшейся в следующих случаях:</w:t>
      </w:r>
      <w:r>
        <w:rPr>
          <w:rFonts w:eastAsia="Calibri"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  <w:r>
        <w:rPr>
          <w:rFonts w:eastAsia="Calibri"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б) принято решение о признании только одного претендента участником;</w:t>
      </w:r>
      <w:r>
        <w:rPr>
          <w:rFonts w:eastAsia="Calibri"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в) ни один из участников не сделал предложение о цене имущества при достижении минимальной цены продажи (цены отсечения) имущества.</w:t>
      </w:r>
      <w:r>
        <w:rPr>
          <w:rFonts w:eastAsia="Calibri"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  <w:r>
        <w:rPr>
          <w:rFonts w:eastAsia="Calibri"/>
          <w:b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/>
          <w:bCs/>
          <w:color w:val="000000"/>
          <w:sz w:val="26"/>
          <w:szCs w:val="26"/>
          <w:lang w:eastAsia="en-US"/>
        </w:rPr>
        <w:t xml:space="preserve">Не позднее чем через 5 рабочих дней с даты проведения продажи с победителем заключается договор купли-продажи имущества.</w:t>
      </w:r>
      <w:r>
        <w:rPr>
          <w:rFonts w:eastAsia="Calibri"/>
          <w:bCs/>
          <w:color w:val="000000"/>
          <w:sz w:val="26"/>
          <w:szCs w:val="26"/>
          <w:lang w:eastAsia="en-US"/>
        </w:rPr>
      </w:r>
    </w:p>
    <w:p>
      <w:pPr>
        <w:ind w:firstLine="540"/>
        <w:jc w:val="both"/>
        <w:rPr>
          <w:rFonts w:eastAsia="Calibri"/>
          <w:bCs/>
          <w:color w:val="000000"/>
          <w:sz w:val="26"/>
          <w:szCs w:val="26"/>
          <w:lang w:eastAsia="en-US"/>
        </w:rPr>
      </w:pP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При уклонении или отказе по</w:t>
      </w:r>
      <w:r>
        <w:rPr>
          <w:rFonts w:eastAsia="Calibri"/>
          <w:bCs/>
          <w:color w:val="000000"/>
          <w:sz w:val="26"/>
          <w:szCs w:val="26"/>
          <w:lang w:eastAsia="en-US"/>
        </w:rPr>
        <w:t xml:space="preserve">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продавцом, победитель утрачивает право на заключение указанного договора, задаток ему не возвращается.</w:t>
      </w:r>
      <w:r>
        <w:rPr>
          <w:rFonts w:eastAsia="Calibri"/>
          <w:bCs/>
          <w:color w:val="000000"/>
          <w:sz w:val="26"/>
          <w:szCs w:val="26"/>
          <w:lang w:eastAsia="en-US"/>
        </w:rPr>
      </w:r>
    </w:p>
    <w:p>
      <w:pPr>
        <w:pStyle w:val="766"/>
        <w:ind w:firstLine="426"/>
        <w:tabs>
          <w:tab w:val="left" w:pos="42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rPr>
          <w:rFonts w:eastAsia="Calibri"/>
          <w:bCs/>
          <w:color w:val="000000"/>
          <w:sz w:val="30"/>
          <w:szCs w:val="30"/>
          <w:u w:val="single"/>
          <w:lang w:val="ru-RU"/>
        </w:rPr>
      </w:pPr>
      <w:r>
        <w:rPr>
          <w:rFonts w:eastAsia="Calibri"/>
          <w:bCs/>
          <w:color w:val="000000"/>
          <w:sz w:val="26"/>
          <w:szCs w:val="26"/>
          <w:lang w:val="ru-RU"/>
        </w:rPr>
        <w:t xml:space="preserve"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полной оплаты имущества</w:t>
      </w:r>
      <w:r>
        <w:rPr>
          <w:rFonts w:eastAsia="Calibri"/>
          <w:bCs/>
          <w:color w:val="000000"/>
          <w:sz w:val="26"/>
          <w:szCs w:val="26"/>
          <w:lang w:val="ru-RU"/>
        </w:rPr>
        <w:t xml:space="preserve">.</w:t>
      </w:r>
      <w:r>
        <w:rPr>
          <w:rFonts w:eastAsia="Calibri"/>
          <w:bCs/>
          <w:color w:val="000000"/>
          <w:sz w:val="30"/>
          <w:szCs w:val="30"/>
          <w:u w:val="single"/>
          <w:lang w:val="ru-RU"/>
        </w:rPr>
      </w:r>
    </w:p>
    <w:sectPr>
      <w:headerReference w:type="default" r:id="rId9"/>
      <w:footnotePr/>
      <w:endnotePr/>
      <w:type w:val="nextPage"/>
      <w:pgSz w:w="16838" w:h="11906" w:orient="landscape"/>
      <w:pgMar w:top="851" w:right="536" w:bottom="567" w:left="709" w:header="284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">
    <w:panose1 w:val="02020603050405020304"/>
  </w:font>
  <w:font w:name="Verdan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ahoma">
    <w:panose1 w:val="020B0604030504040204"/>
  </w:font>
  <w:font w:name="Wingdings">
    <w:panose1 w:val="0501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5"/>
      <w:jc w:val="center"/>
    </w:pPr>
    <w:fldSimple w:instr="PAGE \* MERGEFORMAT">
      <w:r>
        <w:t xml:space="preserve">1</w:t>
      </w:r>
    </w:fldSimple>
    <w:r/>
    <w:r/>
  </w:p>
  <w:p>
    <w:pPr>
      <w:pStyle w:val="7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6"/>
      <w:numFmt w:val="decimalZero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7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6">
    <w:multiLevelType w:val="hybridMultilevel"/>
    <w:lvl w:ilvl="0">
      <w:start w:val="29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  <w:sz w:val="20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  <w:sz w:val="20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hint="default" w:ascii="Symbol" w:hAnsi="Symbol"/>
        <w:sz w:val="20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  <w:sz w:val="20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  <w:sz w:val="20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hint="default" w:ascii="Symbol" w:hAnsi="Symbol"/>
        <w:sz w:val="20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hint="default" w:ascii="Symbol" w:hAnsi="Symbol"/>
        <w:sz w:val="20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334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23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32" w:hanging="360"/>
        <w:tabs>
          <w:tab w:val="num" w:pos="133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52" w:hanging="360"/>
        <w:tabs>
          <w:tab w:val="num" w:pos="2052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72" w:hanging="360"/>
        <w:tabs>
          <w:tab w:val="num" w:pos="277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92" w:hanging="360"/>
        <w:tabs>
          <w:tab w:val="num" w:pos="349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12" w:hanging="360"/>
        <w:tabs>
          <w:tab w:val="num" w:pos="4212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32" w:hanging="360"/>
        <w:tabs>
          <w:tab w:val="num" w:pos="493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52" w:hanging="360"/>
        <w:tabs>
          <w:tab w:val="num" w:pos="565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72" w:hanging="360"/>
        <w:tabs>
          <w:tab w:val="num" w:pos="6372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92" w:hanging="360"/>
        <w:tabs>
          <w:tab w:val="num" w:pos="7092" w:leader="none"/>
        </w:tabs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33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56"/>
      <w:numFmt w:val="bullet"/>
      <w:isLgl w:val="false"/>
      <w:suff w:val="tab"/>
      <w:lvlText w:val="-"/>
      <w:lvlJc w:val="left"/>
      <w:pPr>
        <w:ind w:left="786" w:hanging="360"/>
        <w:tabs>
          <w:tab w:val="num" w:pos="786" w:leader="none"/>
        </w:tabs>
      </w:pPr>
      <w:rPr>
        <w:rFonts w:hint="default"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32" w:hanging="360"/>
        <w:tabs>
          <w:tab w:val="num" w:pos="1332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52" w:hanging="360"/>
        <w:tabs>
          <w:tab w:val="num" w:pos="2052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72" w:hanging="360"/>
        <w:tabs>
          <w:tab w:val="num" w:pos="2772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92" w:hanging="360"/>
        <w:tabs>
          <w:tab w:val="num" w:pos="3492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12" w:hanging="360"/>
        <w:tabs>
          <w:tab w:val="num" w:pos="4212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32" w:hanging="360"/>
        <w:tabs>
          <w:tab w:val="num" w:pos="4932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52" w:hanging="360"/>
        <w:tabs>
          <w:tab w:val="num" w:pos="5652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72" w:hanging="360"/>
        <w:tabs>
          <w:tab w:val="num" w:pos="6372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92" w:hanging="360"/>
        <w:tabs>
          <w:tab w:val="num" w:pos="7092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19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0" w:hanging="840"/>
        <w:tabs>
          <w:tab w:val="num" w:pos="13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27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6"/>
      <w:numFmt w:val="decimal"/>
      <w:isLgl w:val="false"/>
      <w:suff w:val="tab"/>
      <w:lvlText w:val="%1"/>
      <w:lvlJc w:val="left"/>
      <w:pPr>
        <w:ind w:left="502" w:hanging="360"/>
        <w:tabs>
          <w:tab w:val="num" w:pos="50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  <w:tabs>
          <w:tab w:val="num" w:pos="122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  <w:tabs>
          <w:tab w:val="num" w:pos="194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  <w:tabs>
          <w:tab w:val="num" w:pos="266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  <w:tabs>
          <w:tab w:val="num" w:pos="338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  <w:tabs>
          <w:tab w:val="num" w:pos="410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  <w:tabs>
          <w:tab w:val="num" w:pos="482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  <w:tabs>
          <w:tab w:val="num" w:pos="554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  <w:tabs>
          <w:tab w:val="num" w:pos="6262" w:leader="none"/>
        </w:tabs>
      </w:p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>
    <w:multiLevelType w:val="hybridMultilevel"/>
    <w:lvl w:ilvl="0">
      <w:start w:val="22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num w:numId="1">
    <w:abstractNumId w:val="28"/>
  </w:num>
  <w:num w:numId="2">
    <w:abstractNumId w:val="35"/>
  </w:num>
  <w:num w:numId="3">
    <w:abstractNumId w:val="8"/>
  </w:num>
  <w:num w:numId="4">
    <w:abstractNumId w:val="17"/>
  </w:num>
  <w:num w:numId="5">
    <w:abstractNumId w:val="12"/>
  </w:num>
  <w:num w:numId="6">
    <w:abstractNumId w:val="15"/>
  </w:num>
  <w:num w:numId="7">
    <w:abstractNumId w:val="0"/>
  </w:num>
  <w:num w:numId="8">
    <w:abstractNumId w:val="32"/>
  </w:num>
  <w:num w:numId="9">
    <w:abstractNumId w:val="16"/>
  </w:num>
  <w:num w:numId="10">
    <w:abstractNumId w:val="31"/>
  </w:num>
  <w:num w:numId="11">
    <w:abstractNumId w:val="24"/>
  </w:num>
  <w:num w:numId="12">
    <w:abstractNumId w:val="25"/>
  </w:num>
  <w:num w:numId="13">
    <w:abstractNumId w:val="23"/>
  </w:num>
  <w:num w:numId="14">
    <w:abstractNumId w:val="4"/>
  </w:num>
  <w:num w:numId="15">
    <w:abstractNumId w:val="29"/>
  </w:num>
  <w:num w:numId="16">
    <w:abstractNumId w:val="9"/>
  </w:num>
  <w:num w:numId="17">
    <w:abstractNumId w:val="3"/>
  </w:num>
  <w:num w:numId="18">
    <w:abstractNumId w:val="20"/>
  </w:num>
  <w:num w:numId="19">
    <w:abstractNumId w:val="33"/>
  </w:num>
  <w:num w:numId="20">
    <w:abstractNumId w:val="9"/>
  </w:num>
  <w:num w:numId="21">
    <w:abstractNumId w:val="30"/>
  </w:num>
  <w:num w:numId="22">
    <w:abstractNumId w:val="7"/>
  </w:num>
  <w:num w:numId="23">
    <w:abstractNumId w:val="14"/>
  </w:num>
  <w:num w:numId="24">
    <w:abstractNumId w:val="10"/>
  </w:num>
  <w:num w:numId="25">
    <w:abstractNumId w:val="13"/>
  </w:num>
  <w:num w:numId="26">
    <w:abstractNumId w:val="1"/>
  </w:num>
  <w:num w:numId="27">
    <w:abstractNumId w:val="22"/>
  </w:num>
  <w:num w:numId="28">
    <w:abstractNumId w:val="21"/>
  </w:num>
  <w:num w:numId="29">
    <w:abstractNumId w:val="34"/>
  </w:num>
  <w:num w:numId="30">
    <w:abstractNumId w:val="11"/>
  </w:num>
  <w:num w:numId="31">
    <w:abstractNumId w:val="2"/>
  </w:num>
  <w:num w:numId="32">
    <w:abstractNumId w:val="26"/>
  </w:num>
  <w:num w:numId="33">
    <w:abstractNumId w:val="19"/>
  </w:num>
  <w:num w:numId="34">
    <w:abstractNumId w:val="18"/>
  </w:num>
  <w:num w:numId="35">
    <w:abstractNumId w:val="5"/>
  </w:num>
  <w:num w:numId="36">
    <w:abstractNumId w:val="27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49"/>
    <w:link w:val="744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49"/>
    <w:link w:val="745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49"/>
    <w:link w:val="74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49"/>
    <w:link w:val="74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49"/>
    <w:link w:val="748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43"/>
    <w:next w:val="743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4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43"/>
    <w:next w:val="743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4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30">
    <w:name w:val="Heading 9"/>
    <w:basedOn w:val="743"/>
    <w:next w:val="743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4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743"/>
    <w:uiPriority w:val="34"/>
    <w:qFormat/>
    <w:pPr>
      <w:contextualSpacing/>
      <w:ind w:left="720"/>
    </w:pPr>
  </w:style>
  <w:style w:type="character" w:styleId="36">
    <w:name w:val="Title Char"/>
    <w:basedOn w:val="749"/>
    <w:link w:val="755"/>
    <w:uiPriority w:val="10"/>
    <w:rPr>
      <w:sz w:val="48"/>
      <w:szCs w:val="48"/>
    </w:rPr>
  </w:style>
  <w:style w:type="character" w:styleId="38">
    <w:name w:val="Subtitle Char"/>
    <w:basedOn w:val="749"/>
    <w:link w:val="791"/>
    <w:uiPriority w:val="11"/>
    <w:rPr>
      <w:sz w:val="24"/>
      <w:szCs w:val="24"/>
    </w:rPr>
  </w:style>
  <w:style w:type="paragraph" w:styleId="39">
    <w:name w:val="Quote"/>
    <w:basedOn w:val="743"/>
    <w:next w:val="743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character" w:styleId="44">
    <w:name w:val="Header Char"/>
    <w:basedOn w:val="749"/>
    <w:link w:val="775"/>
    <w:uiPriority w:val="99"/>
  </w:style>
  <w:style w:type="character" w:styleId="46">
    <w:name w:val="Footer Char"/>
    <w:basedOn w:val="749"/>
    <w:link w:val="777"/>
    <w:uiPriority w:val="99"/>
  </w:style>
  <w:style w:type="character" w:styleId="48">
    <w:name w:val="Caption Char"/>
    <w:basedOn w:val="749"/>
    <w:link w:val="796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7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74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49"/>
    <w:uiPriority w:val="99"/>
    <w:unhideWhenUsed/>
    <w:rPr>
      <w:vertAlign w:val="superscript"/>
    </w:rPr>
  </w:style>
  <w:style w:type="paragraph" w:styleId="179">
    <w:name w:val="endnote text"/>
    <w:basedOn w:val="74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49"/>
    <w:uiPriority w:val="99"/>
    <w:semiHidden/>
    <w:unhideWhenUsed/>
    <w:rPr>
      <w:vertAlign w:val="superscript"/>
    </w:rPr>
  </w:style>
  <w:style w:type="paragraph" w:styleId="182">
    <w:name w:val="toc 1"/>
    <w:basedOn w:val="743"/>
    <w:next w:val="743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43"/>
    <w:next w:val="743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43"/>
    <w:next w:val="743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43"/>
    <w:next w:val="743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43"/>
    <w:next w:val="743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43"/>
    <w:next w:val="743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43"/>
    <w:next w:val="743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43"/>
    <w:next w:val="743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43"/>
    <w:next w:val="743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43"/>
    <w:next w:val="743"/>
    <w:uiPriority w:val="99"/>
    <w:unhideWhenUsed/>
    <w:pPr>
      <w:spacing w:after="0" w:afterAutospacing="0"/>
    </w:pPr>
  </w:style>
  <w:style w:type="paragraph" w:styleId="743" w:default="1">
    <w:name w:val="Normal"/>
    <w:qFormat/>
    <w:rPr>
      <w:sz w:val="24"/>
      <w:szCs w:val="24"/>
    </w:rPr>
  </w:style>
  <w:style w:type="paragraph" w:styleId="744">
    <w:name w:val="Heading 1"/>
    <w:basedOn w:val="743"/>
    <w:next w:val="743"/>
    <w:link w:val="783"/>
    <w:qFormat/>
    <w:pPr>
      <w:jc w:val="center"/>
      <w:keepNext/>
      <w:outlineLvl w:val="0"/>
    </w:pPr>
    <w:rPr>
      <w:b/>
      <w:szCs w:val="20"/>
    </w:rPr>
  </w:style>
  <w:style w:type="paragraph" w:styleId="745">
    <w:name w:val="Heading 2"/>
    <w:basedOn w:val="743"/>
    <w:next w:val="743"/>
    <w:link w:val="784"/>
    <w:qFormat/>
    <w:pPr>
      <w:jc w:val="both"/>
      <w:keepNext/>
      <w:outlineLvl w:val="1"/>
    </w:pPr>
    <w:rPr>
      <w:szCs w:val="20"/>
    </w:rPr>
  </w:style>
  <w:style w:type="paragraph" w:styleId="746">
    <w:name w:val="Heading 3"/>
    <w:basedOn w:val="743"/>
    <w:next w:val="743"/>
    <w:link w:val="785"/>
    <w:qFormat/>
    <w:pPr>
      <w:ind w:left="426"/>
      <w:jc w:val="center"/>
      <w:keepNext/>
      <w:outlineLvl w:val="2"/>
    </w:pPr>
    <w:rPr>
      <w:b/>
      <w:bCs/>
      <w:szCs w:val="20"/>
    </w:rPr>
  </w:style>
  <w:style w:type="paragraph" w:styleId="747">
    <w:name w:val="Heading 4"/>
    <w:basedOn w:val="743"/>
    <w:next w:val="743"/>
    <w:link w:val="786"/>
    <w:qFormat/>
    <w:pPr>
      <w:jc w:val="center"/>
      <w:keepNext/>
      <w:outlineLvl w:val="3"/>
    </w:pPr>
    <w:rPr>
      <w:b/>
      <w:sz w:val="20"/>
      <w:szCs w:val="20"/>
    </w:rPr>
  </w:style>
  <w:style w:type="paragraph" w:styleId="748">
    <w:name w:val="Heading 5"/>
    <w:basedOn w:val="743"/>
    <w:next w:val="743"/>
    <w:link w:val="787"/>
    <w:qFormat/>
    <w:pPr>
      <w:jc w:val="center"/>
      <w:keepNext/>
      <w:outlineLvl w:val="4"/>
    </w:pPr>
    <w:rPr>
      <w:b/>
      <w:sz w:val="18"/>
      <w:szCs w:val="20"/>
    </w:rPr>
  </w:style>
  <w:style w:type="character" w:styleId="749" w:default="1">
    <w:name w:val="Default Paragraph Font"/>
    <w:uiPriority w:val="1"/>
    <w:semiHidden/>
    <w:unhideWhenUsed/>
  </w:style>
  <w:style w:type="table" w:styleId="75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1" w:default="1">
    <w:name w:val="No List"/>
    <w:uiPriority w:val="99"/>
    <w:semiHidden/>
    <w:unhideWhenUsed/>
  </w:style>
  <w:style w:type="paragraph" w:styleId="752">
    <w:name w:val="Body Text"/>
    <w:basedOn w:val="743"/>
    <w:link w:val="765"/>
    <w:pPr>
      <w:spacing w:before="100" w:beforeAutospacing="1" w:after="100" w:afterAutospacing="1"/>
    </w:pPr>
  </w:style>
  <w:style w:type="paragraph" w:styleId="753">
    <w:name w:val="Body Text Indent"/>
    <w:basedOn w:val="743"/>
    <w:pPr>
      <w:spacing w:before="100" w:beforeAutospacing="1" w:after="100" w:afterAutospacing="1"/>
    </w:pPr>
  </w:style>
  <w:style w:type="paragraph" w:styleId="754">
    <w:name w:val="Body Text 2"/>
    <w:basedOn w:val="743"/>
    <w:link w:val="760"/>
    <w:pPr>
      <w:spacing w:before="100" w:beforeAutospacing="1" w:after="100" w:afterAutospacing="1"/>
    </w:pPr>
  </w:style>
  <w:style w:type="paragraph" w:styleId="755">
    <w:name w:val="Title"/>
    <w:basedOn w:val="743"/>
    <w:qFormat/>
    <w:pPr>
      <w:jc w:val="center"/>
    </w:pPr>
    <w:rPr>
      <w:b/>
      <w:sz w:val="28"/>
      <w:szCs w:val="20"/>
    </w:rPr>
  </w:style>
  <w:style w:type="paragraph" w:styleId="756">
    <w:name w:val="Balloon Text"/>
    <w:basedOn w:val="743"/>
    <w:semiHidden/>
    <w:rPr>
      <w:rFonts w:ascii="Tahoma" w:hAnsi="Tahoma" w:cs="Tahoma"/>
      <w:sz w:val="16"/>
      <w:szCs w:val="16"/>
    </w:rPr>
  </w:style>
  <w:style w:type="paragraph" w:styleId="757">
    <w:name w:val="envelope address"/>
    <w:basedOn w:val="743"/>
    <w:pPr>
      <w:ind w:left="2880"/>
      <w:framePr w:w="7920" w:h="1980" w:hSpace="180" w:wrap="auto" w:hAnchor="page" w:xAlign="center" w:yAlign="bottom" w:hRule="exact"/>
    </w:pPr>
    <w:rPr>
      <w:rFonts w:ascii="Arial" w:hAnsi="Arial"/>
      <w:szCs w:val="20"/>
    </w:rPr>
  </w:style>
  <w:style w:type="paragraph" w:styleId="758" w:customStyle="1">
    <w:name w:val="ConsPlusNormal"/>
    <w:pPr>
      <w:ind w:firstLine="720"/>
    </w:pPr>
    <w:rPr>
      <w:rFonts w:ascii="Arial" w:hAnsi="Arial" w:cs="Arial"/>
    </w:rPr>
  </w:style>
  <w:style w:type="character" w:styleId="759">
    <w:name w:val="Hyperlink"/>
    <w:rPr>
      <w:color w:val="0000ff"/>
      <w:u w:val="single"/>
    </w:rPr>
  </w:style>
  <w:style w:type="character" w:styleId="760" w:customStyle="1">
    <w:name w:val="Основной текст 2 Знак"/>
    <w:link w:val="754"/>
    <w:rPr>
      <w:sz w:val="24"/>
      <w:szCs w:val="24"/>
    </w:rPr>
  </w:style>
  <w:style w:type="table" w:styleId="761">
    <w:name w:val="Table Classic 2"/>
    <w:basedOn w:val="750"/>
    <w:tblPr>
      <w:tblInd w:w="0" w:type="dxa"/>
      <w:tblBorders>
        <w:top w:val="single" w:color="000000" w:sz="12" w:space="0"/>
        <w:bottom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firstCol">
      <w:rPr>
        <w:b/>
        <w:bCs/>
      </w:rPr>
      <w:tcPr>
        <w:shd w:val="solid" w:color="c0c0c0" w:fill="ffffff"/>
      </w:tcPr>
    </w:tblStylePr>
    <w:tblStylePr w:type="firstRow">
      <w:rPr>
        <w:color w:val="ffffff"/>
      </w:rPr>
      <w:tcPr>
        <w:shd w:val="solid" w:color="800080" w:fill="ffffff"/>
        <w:tcBorders>
          <w:bottom w:val="single" w:color="000000" w:sz="6" w:space="0"/>
        </w:tcBorders>
      </w:tcPr>
    </w:tblStylePr>
    <w:tblStylePr w:type="lastRow">
      <w:tcPr>
        <w:tcBorders>
          <w:top w:val="single" w:color="000000" w:sz="6" w:space="0"/>
        </w:tcBorders>
      </w:tcPr>
    </w:tblStylePr>
    <w:tblStylePr w:type="nwCell">
      <w:tcPr>
        <w:shd w:val="solid" w:color="800080" w:fill="ffffff"/>
      </w:tcPr>
    </w:tblStylePr>
    <w:tblStylePr w:type="neCell">
      <w:rPr>
        <w:b/>
        <w:bCs/>
      </w:rPr>
    </w:tblStylePr>
    <w:tblStylePr w:type="swCell">
      <w:rPr>
        <w:color w:val="000080"/>
      </w:rPr>
    </w:tblStylePr>
  </w:style>
  <w:style w:type="table" w:styleId="762">
    <w:name w:val="Table 3D effects 1"/>
    <w:basedOn w:val="750"/>
    <w:tblPr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solid" w:color="c0c0c0" w:fill="ffffff"/>
    </w:tcPr>
    <w:tblStylePr w:type="firstCol">
      <w:rPr>
        <w:b/>
        <w:bCs/>
      </w:rPr>
      <w:tcPr>
        <w:tcBorders>
          <w:right w:val="single" w:color="808080" w:sz="6" w:space="0"/>
        </w:tcBorders>
      </w:tcPr>
    </w:tblStylePr>
    <w:tblStylePr w:type="firstRow">
      <w:rPr>
        <w:b/>
        <w:bCs/>
        <w:color w:val="800080"/>
      </w:rPr>
      <w:tcPr>
        <w:tcBorders>
          <w:bottom w:val="single" w:color="808080" w:sz="6" w:space="0"/>
        </w:tcBorders>
      </w:tcPr>
    </w:tblStylePr>
    <w:tblStylePr w:type="lastCol">
      <w:tcPr>
        <w:tcBorders>
          <w:left w:val="single" w:color="FFFFFF" w:sz="6" w:space="0"/>
        </w:tcBorders>
      </w:tcPr>
    </w:tblStylePr>
    <w:tblStylePr w:type="lastRow">
      <w:tcPr>
        <w:tcBorders>
          <w:top w:val="single" w:color="FFFFFF" w:sz="6" w:space="0"/>
        </w:tcBorders>
      </w:tcPr>
    </w:tblStylePr>
    <w:tblStylePr w:type="nwCell">
      <w:tcPr>
        <w:tcBorders>
          <w:bottom w:val="none" w:color="000000" w:sz="0" w:space="0"/>
          <w:right w:val="none" w:color="000000" w:sz="0" w:space="0"/>
        </w:tcBorders>
      </w:tcPr>
    </w:tblStylePr>
    <w:tblStylePr w:type="neCell">
      <w:tcPr>
        <w:tcBorders>
          <w:left w:val="none" w:color="000000" w:sz="0" w:space="0"/>
          <w:bottom w:val="none" w:color="000000" w:sz="0" w:space="0"/>
        </w:tcBorders>
      </w:tcPr>
    </w:tblStylePr>
    <w:tblStylePr w:type="swCell">
      <w:rPr>
        <w:color w:val="000080"/>
      </w:rPr>
      <w:tcPr>
        <w:tcBorders>
          <w:top w:val="none" w:color="000000" w:sz="0" w:space="0"/>
          <w:right w:val="none" w:color="000000" w:sz="0" w:space="0"/>
        </w:tcBorders>
      </w:tcPr>
    </w:tblStylePr>
    <w:tblStylePr w:type="seCell">
      <w:tcPr>
        <w:tcBorders>
          <w:top w:val="none" w:color="000000" w:sz="0" w:space="0"/>
          <w:left w:val="none" w:color="000000" w:sz="0" w:space="0"/>
        </w:tcBorders>
      </w:tcPr>
    </w:tblStylePr>
  </w:style>
  <w:style w:type="table" w:styleId="763">
    <w:name w:val="Table Classic 3"/>
    <w:basedOn w:val="750"/>
    <w:rPr>
      <w:color w:val="000080"/>
    </w:rPr>
    <w:tblPr>
      <w:tblInd w:w="0" w:type="dxa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solid" w:color="c0c0c0" w:fill="ffffff"/>
    </w:tcPr>
    <w:tblStylePr w:type="firstCol">
      <w:rPr>
        <w:b/>
        <w:bCs/>
        <w:color w:val="000000"/>
      </w:rPr>
    </w:tblStylePr>
    <w:tblStylePr w:type="firstRow">
      <w:rPr>
        <w:b/>
        <w:bCs/>
        <w:i/>
        <w:iCs/>
        <w:color w:val="ffffff"/>
      </w:rPr>
      <w:tcPr>
        <w:shd w:val="solid" w:color="000080" w:fill="ffffff"/>
        <w:tcBorders>
          <w:bottom w:val="single" w:color="000000" w:sz="6" w:space="0"/>
        </w:tcBorders>
      </w:tcPr>
    </w:tblStylePr>
    <w:tblStylePr w:type="lastRow">
      <w:rPr>
        <w:color w:val="000080"/>
      </w:rPr>
      <w:tcPr>
        <w:shd w:val="solid" w:color="ffffff" w:fill="ffffff"/>
        <w:tcBorders>
          <w:top w:val="single" w:color="000000" w:sz="12" w:space="0"/>
        </w:tcBorders>
      </w:tcPr>
    </w:tblStylePr>
  </w:style>
  <w:style w:type="table" w:styleId="764">
    <w:name w:val="Table Grid"/>
    <w:basedOn w:val="750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65" w:customStyle="1">
    <w:name w:val="Основной текст Знак"/>
    <w:link w:val="752"/>
    <w:rPr>
      <w:sz w:val="24"/>
      <w:szCs w:val="24"/>
    </w:rPr>
  </w:style>
  <w:style w:type="paragraph" w:styleId="766" w:customStyle="1">
    <w:name w:val="rezul"/>
    <w:basedOn w:val="743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767">
    <w:name w:val="Normal (Web)"/>
    <w:basedOn w:val="743"/>
  </w:style>
  <w:style w:type="paragraph" w:styleId="768" w:customStyle="1">
    <w:name w:val="TextBoldCenter"/>
    <w:basedOn w:val="743"/>
    <w:pPr>
      <w:jc w:val="center"/>
      <w:spacing w:before="283"/>
    </w:pPr>
    <w:rPr>
      <w:rFonts w:eastAsia="Calibri"/>
      <w:b/>
      <w:bCs/>
      <w:sz w:val="26"/>
      <w:szCs w:val="26"/>
    </w:rPr>
  </w:style>
  <w:style w:type="paragraph" w:styleId="769">
    <w:name w:val="No Spacing"/>
    <w:link w:val="779"/>
    <w:uiPriority w:val="99"/>
    <w:qFormat/>
    <w:rPr>
      <w:rFonts w:ascii="Calibri" w:hAnsi="Calibri"/>
      <w:sz w:val="22"/>
      <w:szCs w:val="22"/>
      <w:lang w:eastAsia="en-US"/>
    </w:rPr>
  </w:style>
  <w:style w:type="paragraph" w:styleId="770">
    <w:name w:val="Body Text Indent 3"/>
    <w:basedOn w:val="743"/>
    <w:link w:val="771"/>
    <w:pPr>
      <w:ind w:left="283"/>
      <w:spacing w:after="120"/>
    </w:pPr>
    <w:rPr>
      <w:sz w:val="16"/>
      <w:szCs w:val="16"/>
    </w:rPr>
  </w:style>
  <w:style w:type="character" w:styleId="771" w:customStyle="1">
    <w:name w:val="Основной текст с отступом 3 Знак"/>
    <w:link w:val="770"/>
    <w:rPr>
      <w:sz w:val="16"/>
      <w:szCs w:val="16"/>
    </w:rPr>
  </w:style>
  <w:style w:type="paragraph" w:styleId="772">
    <w:name w:val="Body Text Indent 2"/>
    <w:basedOn w:val="743"/>
    <w:link w:val="773"/>
    <w:pPr>
      <w:ind w:left="283"/>
      <w:spacing w:after="120" w:line="480" w:lineRule="auto"/>
    </w:pPr>
  </w:style>
  <w:style w:type="character" w:styleId="773" w:customStyle="1">
    <w:name w:val="Основной текст с отступом 2 Знак"/>
    <w:link w:val="772"/>
    <w:rPr>
      <w:sz w:val="24"/>
      <w:szCs w:val="24"/>
    </w:rPr>
  </w:style>
  <w:style w:type="character" w:styleId="774">
    <w:name w:val="Strong"/>
    <w:uiPriority w:val="22"/>
    <w:qFormat/>
    <w:rPr>
      <w:b/>
      <w:bCs/>
    </w:rPr>
  </w:style>
  <w:style w:type="paragraph" w:styleId="775">
    <w:name w:val="Header"/>
    <w:basedOn w:val="743"/>
    <w:link w:val="776"/>
    <w:pPr>
      <w:tabs>
        <w:tab w:val="center" w:pos="4677" w:leader="none"/>
        <w:tab w:val="right" w:pos="9355" w:leader="none"/>
      </w:tabs>
    </w:pPr>
  </w:style>
  <w:style w:type="character" w:styleId="776" w:customStyle="1">
    <w:name w:val="Верхний колонтитул Знак"/>
    <w:link w:val="775"/>
    <w:rPr>
      <w:sz w:val="24"/>
      <w:szCs w:val="24"/>
    </w:rPr>
  </w:style>
  <w:style w:type="paragraph" w:styleId="777">
    <w:name w:val="Footer"/>
    <w:basedOn w:val="743"/>
    <w:link w:val="778"/>
    <w:pPr>
      <w:tabs>
        <w:tab w:val="center" w:pos="4677" w:leader="none"/>
        <w:tab w:val="right" w:pos="9355" w:leader="none"/>
      </w:tabs>
    </w:pPr>
  </w:style>
  <w:style w:type="character" w:styleId="778" w:customStyle="1">
    <w:name w:val="Нижний колонтитул Знак"/>
    <w:link w:val="777"/>
    <w:rPr>
      <w:sz w:val="24"/>
      <w:szCs w:val="24"/>
    </w:rPr>
  </w:style>
  <w:style w:type="character" w:styleId="779" w:customStyle="1">
    <w:name w:val="Без интервала Знак"/>
    <w:link w:val="769"/>
    <w:uiPriority w:val="99"/>
    <w:rPr>
      <w:rFonts w:ascii="Calibri" w:hAnsi="Calibri"/>
      <w:sz w:val="22"/>
      <w:szCs w:val="22"/>
      <w:lang w:eastAsia="en-US" w:bidi="ar-SA"/>
    </w:rPr>
  </w:style>
  <w:style w:type="paragraph" w:styleId="780" w:customStyle="1">
    <w:name w:val="Основной текст с отступом 21"/>
    <w:basedOn w:val="743"/>
    <w:pPr>
      <w:ind w:firstLine="426"/>
      <w:widowControl w:val="off"/>
    </w:pPr>
    <w:rPr>
      <w:szCs w:val="20"/>
    </w:rPr>
  </w:style>
  <w:style w:type="paragraph" w:styleId="781" w:customStyle="1">
    <w:name w:val="Знак"/>
    <w:basedOn w:val="743"/>
    <w:pPr>
      <w:jc w:val="both"/>
      <w:spacing w:after="120" w:line="312" w:lineRule="auto"/>
      <w:tabs>
        <w:tab w:val="num" w:pos="567" w:leader="none"/>
      </w:tabs>
    </w:pPr>
    <w:rPr>
      <w:lang w:val="en-US" w:eastAsia="en-US"/>
    </w:rPr>
  </w:style>
  <w:style w:type="paragraph" w:styleId="782" w:customStyle="1">
    <w:name w:val="Таблицы (моноширинный)"/>
    <w:basedOn w:val="743"/>
    <w:next w:val="743"/>
    <w:pPr>
      <w:jc w:val="both"/>
    </w:pPr>
    <w:rPr>
      <w:rFonts w:ascii="Courier New" w:hAnsi="Courier New" w:cs="Courier New"/>
      <w:sz w:val="20"/>
      <w:szCs w:val="20"/>
    </w:rPr>
  </w:style>
  <w:style w:type="character" w:styleId="783" w:customStyle="1">
    <w:name w:val="Заголовок 1 Знак"/>
    <w:basedOn w:val="749"/>
    <w:link w:val="744"/>
    <w:rPr>
      <w:b/>
      <w:sz w:val="24"/>
    </w:rPr>
  </w:style>
  <w:style w:type="character" w:styleId="784" w:customStyle="1">
    <w:name w:val="Заголовок 2 Знак"/>
    <w:basedOn w:val="749"/>
    <w:link w:val="745"/>
    <w:rPr>
      <w:sz w:val="24"/>
    </w:rPr>
  </w:style>
  <w:style w:type="character" w:styleId="785" w:customStyle="1">
    <w:name w:val="Заголовок 3 Знак"/>
    <w:basedOn w:val="749"/>
    <w:link w:val="746"/>
    <w:rPr>
      <w:b/>
      <w:bCs/>
      <w:sz w:val="24"/>
    </w:rPr>
  </w:style>
  <w:style w:type="character" w:styleId="786" w:customStyle="1">
    <w:name w:val="Заголовок 4 Знак"/>
    <w:basedOn w:val="749"/>
    <w:link w:val="747"/>
    <w:rPr>
      <w:b/>
    </w:rPr>
  </w:style>
  <w:style w:type="character" w:styleId="787" w:customStyle="1">
    <w:name w:val="Заголовок 5 Знак"/>
    <w:basedOn w:val="749"/>
    <w:link w:val="748"/>
    <w:rPr>
      <w:b/>
      <w:sz w:val="18"/>
    </w:rPr>
  </w:style>
  <w:style w:type="paragraph" w:styleId="788">
    <w:name w:val="Body Text 3"/>
    <w:basedOn w:val="743"/>
    <w:link w:val="789"/>
    <w:pPr>
      <w:jc w:val="center"/>
    </w:pPr>
    <w:rPr>
      <w:b/>
      <w:sz w:val="18"/>
      <w:szCs w:val="20"/>
    </w:rPr>
  </w:style>
  <w:style w:type="character" w:styleId="789" w:customStyle="1">
    <w:name w:val="Основной текст 3 Знак"/>
    <w:basedOn w:val="749"/>
    <w:link w:val="788"/>
    <w:rPr>
      <w:b/>
      <w:sz w:val="18"/>
    </w:rPr>
  </w:style>
  <w:style w:type="paragraph" w:styleId="790" w:customStyle="1">
    <w:name w:val="Основной текст с отступом 31"/>
    <w:basedOn w:val="743"/>
    <w:pPr>
      <w:ind w:firstLine="360"/>
      <w:jc w:val="both"/>
      <w:widowControl w:val="off"/>
    </w:pPr>
    <w:rPr>
      <w:szCs w:val="20"/>
    </w:rPr>
  </w:style>
  <w:style w:type="paragraph" w:styleId="791">
    <w:name w:val="Subtitle"/>
    <w:basedOn w:val="743"/>
    <w:link w:val="792"/>
    <w:qFormat/>
    <w:pPr>
      <w:jc w:val="both"/>
    </w:pPr>
    <w:rPr>
      <w:szCs w:val="20"/>
    </w:rPr>
  </w:style>
  <w:style w:type="character" w:styleId="792" w:customStyle="1">
    <w:name w:val="Подзаголовок Знак"/>
    <w:basedOn w:val="749"/>
    <w:link w:val="791"/>
    <w:rPr>
      <w:sz w:val="24"/>
    </w:rPr>
  </w:style>
  <w:style w:type="paragraph" w:styleId="793" w:customStyle="1">
    <w:name w:val="Знак2"/>
    <w:basedOn w:val="7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794" w:customStyle="1">
    <w:name w:val="Знак21"/>
    <w:basedOn w:val="7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795" w:customStyle="1">
    <w:name w:val="HeadDoc"/>
    <w:pPr>
      <w:jc w:val="both"/>
      <w:keepLines/>
    </w:pPr>
    <w:rPr>
      <w:sz w:val="28"/>
    </w:rPr>
  </w:style>
  <w:style w:type="paragraph" w:styleId="796">
    <w:name w:val="Caption"/>
    <w:basedOn w:val="743"/>
    <w:next w:val="743"/>
    <w:qFormat/>
    <w:pPr>
      <w:jc w:val="center"/>
    </w:pPr>
    <w:rPr>
      <w:b/>
      <w:sz w:val="32"/>
      <w:szCs w:val="20"/>
    </w:rPr>
  </w:style>
  <w:style w:type="character" w:styleId="797" w:customStyle="1">
    <w:name w:val="Body text (2)"/>
    <w:basedOn w:val="74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styleId="798" w:customStyle="1">
    <w:name w:val="Body text (2) + 11 pt"/>
    <w:basedOn w:val="74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styleId="799" w:customStyle="1">
    <w:name w:val="Intense Quote Char"/>
    <w:uiPriority w:val="30"/>
    <w:rPr>
      <w:i/>
    </w:rPr>
  </w:style>
  <w:style w:type="paragraph" w:styleId="800">
    <w:name w:val="Intense Quote"/>
    <w:basedOn w:val="743"/>
    <w:next w:val="743"/>
    <w:link w:val="8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</w:rPr>
  </w:style>
  <w:style w:type="character" w:styleId="801" w:customStyle="1">
    <w:name w:val="Выделенная цитата Знак"/>
    <w:basedOn w:val="749"/>
    <w:link w:val="800"/>
    <w:uiPriority w:val="30"/>
    <w:rPr>
      <w:i/>
      <w:shd w:val="clear" w:color="auto" w:fill="f2f2f2"/>
    </w:rPr>
  </w:style>
  <w:style w:type="paragraph" w:styleId="802" w:customStyle="1">
    <w:name w:val="Heading 8"/>
    <w:basedOn w:val="743"/>
    <w:next w:val="743"/>
    <w:link w:val="8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3" w:customStyle="1">
    <w:name w:val="Heading 8 Char"/>
    <w:basedOn w:val="749"/>
    <w:link w:val="802"/>
    <w:uiPriority w:val="9"/>
    <w:rPr>
      <w:rFonts w:ascii="Arial" w:hAnsi="Arial" w:eastAsia="Arial" w:cs="Arial"/>
      <w:i/>
      <w:iCs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torgi.gov.ru" TargetMode="External"/><Relationship Id="rId12" Type="http://schemas.openxmlformats.org/officeDocument/2006/relationships/hyperlink" Target="http://www.torgi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ED834-EE54-4962-AB92-24ECA591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государственного имущества и земельных ресурсов Нижегородской области</dc:title>
  <dc:creator>lep</dc:creator>
  <cp:lastModifiedBy>a.rozhkova</cp:lastModifiedBy>
  <cp:revision>42</cp:revision>
  <dcterms:created xsi:type="dcterms:W3CDTF">2025-03-17T13:36:00Z</dcterms:created>
  <dcterms:modified xsi:type="dcterms:W3CDTF">2026-04-02T08:01:26Z</dcterms:modified>
</cp:coreProperties>
</file>