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04</w:t>
      </w:r>
      <w:r>
        <w:rPr>
          <w:b/>
          <w:color w:val="000000"/>
          <w:sz w:val="26"/>
          <w:szCs w:val="26"/>
        </w:rPr>
        <w:t xml:space="preserve">/2026 о проведении</w:t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15</w:t>
      </w:r>
      <w:r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апреля</w:t>
      </w:r>
      <w:r>
        <w:rPr>
          <w:b/>
          <w:sz w:val="30"/>
          <w:szCs w:val="30"/>
          <w:u w:val="single"/>
        </w:rPr>
        <w:t xml:space="preserve">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городской округ город Нижний Новгород,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</w:t>
      </w:r>
      <w:r>
        <w:rPr>
          <w:color w:val="000000"/>
          <w:sz w:val="26"/>
          <w:szCs w:val="26"/>
        </w:rPr>
        <w:t xml:space="preserve">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</w:t>
      </w:r>
      <w:r>
        <w:rPr>
          <w:color w:val="000000"/>
          <w:sz w:val="26"/>
          <w:szCs w:val="26"/>
        </w:rPr>
        <w:t xml:space="preserve">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r>
        <w:rPr>
          <w:color w:val="000000"/>
          <w:sz w:val="26"/>
          <w:szCs w:val="26"/>
        </w:rPr>
        <w:t xml:space="preserve"> форме», на основан</w:t>
      </w:r>
      <w:r>
        <w:rPr>
          <w:color w:val="000000"/>
          <w:sz w:val="26"/>
          <w:szCs w:val="26"/>
        </w:rPr>
        <w:t xml:space="preserve">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644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552"/>
        <w:gridCol w:w="2977"/>
        <w:gridCol w:w="1134"/>
        <w:gridCol w:w="992"/>
        <w:gridCol w:w="850"/>
        <w:gridCol w:w="2506"/>
        <w:gridCol w:w="1418"/>
        <w:gridCol w:w="1417"/>
        <w:gridCol w:w="1134"/>
      </w:tblGrid>
      <w:tr>
        <w:tblPrEx/>
        <w:trPr>
          <w:jc w:val="center"/>
          <w:trHeight w:val="1829" w:hRule="exact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1537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2/5 доли в праве общей долевой собственности на нежилое помещение (подвал №1)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г Нижний Новгород, р-н Автозаводский, </w:t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 Героя Советского Союза </w:t>
            </w:r>
            <w:r>
              <w:rPr>
                <w:sz w:val="24"/>
                <w:szCs w:val="24"/>
              </w:rPr>
              <w:t xml:space="preserve">Поющева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11, </w:t>
            </w:r>
            <w:r>
              <w:rPr>
                <w:sz w:val="24"/>
                <w:szCs w:val="24"/>
              </w:rPr>
              <w:t xml:space="preserve">пом</w:t>
            </w:r>
            <w:r>
              <w:rPr>
                <w:sz w:val="24"/>
                <w:szCs w:val="24"/>
              </w:rPr>
              <w:t xml:space="preserve"> п002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52:18:0040210:369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131,3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1955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расположено в подвале пятиэтажного жилого дома. Имеются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отдельных</w:t>
            </w:r>
            <w:r>
              <w:rPr>
                <w:sz w:val="24"/>
                <w:szCs w:val="24"/>
              </w:rPr>
              <w:t xml:space="preserve"> входа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 с фасада и со двора жилого дома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2 347 644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234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764,4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117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382,2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537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</w:t>
            </w:r>
            <w:r>
              <w:rPr>
                <w:sz w:val="24"/>
                <w:szCs w:val="24"/>
              </w:rPr>
            </w:r>
          </w:p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(подвал № 1)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г Нижний Новгород, р-н Ленинский, </w:t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 Июльских Дней,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 21/96, </w:t>
            </w:r>
            <w:r>
              <w:rPr>
                <w:sz w:val="24"/>
                <w:szCs w:val="24"/>
              </w:rPr>
              <w:t xml:space="preserve">пом</w:t>
            </w:r>
            <w:r>
              <w:rPr>
                <w:sz w:val="24"/>
                <w:szCs w:val="24"/>
              </w:rPr>
              <w:t xml:space="preserve"> ВП4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52:18:0050007:175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72,4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1955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расположено в подвале пятиэтажного жилого дома.</w:t>
            </w:r>
            <w:r>
              <w:rPr>
                <w:sz w:val="24"/>
                <w:szCs w:val="24"/>
              </w:rPr>
              <w:t xml:space="preserve"> Вход совместный с жителями дома через подъезд №1.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2 345 760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234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576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117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288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</w:t>
      </w:r>
      <w:r>
        <w:rPr>
          <w:b/>
          <w:sz w:val="26"/>
          <w:szCs w:val="26"/>
          <w:u w:val="single"/>
        </w:rPr>
        <w:t xml:space="preserve">1-2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bCs/>
          <w:sz w:val="26"/>
          <w:szCs w:val="26"/>
        </w:rPr>
      </w:r>
    </w:p>
    <w:p>
      <w:pPr>
        <w:jc w:val="both"/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лоту № 1: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 соответствии</w:t>
      </w:r>
      <w:r>
        <w:rPr>
          <w:b/>
          <w:sz w:val="26"/>
          <w:szCs w:val="26"/>
        </w:rPr>
        <w:t xml:space="preserve"> со ст.42 Федерального закона от 13.07.2015 № 218-ФЗ «О государственной регистрации недвижимости» сделка по отчуждению долей в праве общей долевой собственности на недвижимое имущество подлежит нотариальному удостоверению.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основании ст. ст. 209, 246, 250 Гражданского Кодекса РФ, Федерального Закона от 21.12.2001 года № 178-ФЗ «О приватизации государственного и муниципального имущества» объект </w:t>
      </w:r>
      <w:r>
        <w:rPr>
          <w:b/>
          <w:sz w:val="26"/>
          <w:szCs w:val="26"/>
        </w:rPr>
        <w:t xml:space="preserve">продажи по стоимости, сложившейся на торгах, либо по начальной цене продажи в случае, если заявку на участие в аукционе подало только одно лицо, признанное единственным участником аукциона, будет предложен для выкупа в собственность сособственнику объекта.</w:t>
      </w:r>
      <w:r>
        <w:rPr>
          <w:b/>
          <w:sz w:val="26"/>
          <w:szCs w:val="26"/>
        </w:rPr>
        <w:t xml:space="preserve"> В случае отказа сособственника</w:t>
      </w:r>
      <w:r>
        <w:rPr>
          <w:b/>
          <w:sz w:val="26"/>
          <w:szCs w:val="26"/>
        </w:rPr>
        <w:t xml:space="preserve"> от подписания договора купли-продажи, он утрачивает преимущественное право приобретения объекта продажи по данной стоимости, договор купли-продажи будет заключен с победителем торгов по данному лоту либо лицом, признанным единственным участником аукциона.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Обременение по лоту № 1: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нежилое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помещение с кадастровым номером </w:t>
      </w:r>
      <w:r>
        <w:rPr>
          <w:b/>
          <w:sz w:val="26"/>
          <w:szCs w:val="26"/>
        </w:rPr>
        <w:t xml:space="preserve">52:18:0040210:369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расположено</w:t>
      </w:r>
      <w:r>
        <w:rPr>
          <w:b/>
          <w:sz w:val="26"/>
          <w:szCs w:val="26"/>
        </w:rPr>
        <w:t xml:space="preserve"> в здании, </w:t>
      </w:r>
      <w:r>
        <w:rPr>
          <w:b/>
          <w:sz w:val="26"/>
          <w:szCs w:val="26"/>
        </w:rPr>
        <w:t xml:space="preserve">являющемся объектом культурного наследия регионального значения – </w:t>
      </w:r>
      <w:r>
        <w:rPr>
          <w:b/>
          <w:sz w:val="26"/>
          <w:szCs w:val="26"/>
        </w:rPr>
        <w:t xml:space="preserve">«Ансамбль застройки жилых кварталов № 3, 4 </w:t>
      </w:r>
      <w:r>
        <w:rPr>
          <w:b/>
          <w:sz w:val="26"/>
          <w:szCs w:val="26"/>
        </w:rPr>
        <w:t xml:space="preserve">Соцгорода</w:t>
      </w:r>
      <w:r>
        <w:rPr>
          <w:b/>
          <w:sz w:val="26"/>
          <w:szCs w:val="26"/>
        </w:rPr>
        <w:t xml:space="preserve"> автозавода. Квартал № 3. 10. Жилой</w:t>
      </w:r>
      <w:r>
        <w:rPr>
          <w:b/>
          <w:sz w:val="26"/>
          <w:szCs w:val="26"/>
        </w:rPr>
        <w:t xml:space="preserve"> дом», включенным в единый государственный реестр объектов культурного наследия (памятников истории и культуры) народов Российской Федерации на основании решения Исполнительного комитета Горьковского областного Совета народных депутатов от 18.12.1989 № 471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Приказом Управления государственной охраны объектов культурного наследия Нижегородской области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25.11.2015 № 84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на данный объект культурного наследия</w:t>
      </w:r>
      <w:r>
        <w:rPr>
          <w:b/>
          <w:sz w:val="26"/>
          <w:szCs w:val="26"/>
        </w:rPr>
        <w:t xml:space="preserve"> утверждено охранное обязательство собственника </w:t>
      </w:r>
      <w:r>
        <w:rPr>
          <w:b/>
          <w:sz w:val="26"/>
          <w:szCs w:val="26"/>
        </w:rPr>
        <w:t xml:space="preserve">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b/>
          <w:sz w:val="26"/>
          <w:szCs w:val="26"/>
        </w:rPr>
        <w:t xml:space="preserve"> (далее – Охранное обязательство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25.11.2015 № 84</w:t>
      </w:r>
      <w:r>
        <w:rPr>
          <w:b/>
          <w:sz w:val="26"/>
          <w:szCs w:val="26"/>
        </w:rPr>
        <w:t xml:space="preserve">) (приложение №3 к информационному сообщению)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выполня</w:t>
      </w:r>
      <w:r>
        <w:rPr>
          <w:b/>
          <w:sz w:val="26"/>
          <w:szCs w:val="26"/>
        </w:rPr>
        <w:t xml:space="preserve">ть требования, предусмотренные </w:t>
      </w:r>
      <w:r>
        <w:rPr>
          <w:b/>
          <w:sz w:val="26"/>
          <w:szCs w:val="26"/>
        </w:rPr>
        <w:t xml:space="preserve">Охранным о</w:t>
      </w:r>
      <w:r>
        <w:rPr>
          <w:b/>
          <w:sz w:val="26"/>
          <w:szCs w:val="26"/>
        </w:rPr>
        <w:t xml:space="preserve">бязательством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25.11.2015 № 84</w:t>
      </w:r>
      <w:r>
        <w:rPr>
          <w:b/>
          <w:sz w:val="26"/>
          <w:szCs w:val="26"/>
        </w:rPr>
        <w:t xml:space="preserve">, порядок и условия их выполнения,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 также требования, установленные </w:t>
      </w:r>
      <w:r>
        <w:rPr>
          <w:b/>
          <w:sz w:val="26"/>
          <w:szCs w:val="26"/>
        </w:rPr>
        <w:t xml:space="preserve">Федеральным законом</w:t>
      </w:r>
      <w:r>
        <w:rPr>
          <w:b/>
          <w:sz w:val="26"/>
          <w:szCs w:val="26"/>
        </w:rPr>
        <w:t xml:space="preserve"> от 25.06.2002 № 73-ФЗ «Об объектах культурного наследия (памятниках истории и культуры) народов Российской Федерации»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далее – Федеральный закон № 73-ФЗ)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у</w:t>
      </w:r>
      <w:r>
        <w:rPr>
          <w:b/>
          <w:sz w:val="26"/>
          <w:szCs w:val="26"/>
        </w:rPr>
        <w:t xml:space="preserve">становить в соответствии с Федеральным законом 73-ФЗ информационную надпись и обозначение на фаса</w:t>
      </w:r>
      <w:r>
        <w:rPr>
          <w:b/>
          <w:sz w:val="26"/>
          <w:szCs w:val="26"/>
        </w:rPr>
        <w:t xml:space="preserve">де здания, в котором находится объект</w:t>
      </w:r>
      <w:r>
        <w:rPr>
          <w:b/>
          <w:sz w:val="26"/>
          <w:szCs w:val="26"/>
        </w:rPr>
        <w:t xml:space="preserve">, содержащую информацию об объекте культурного наследия, в течение одного года с момента р</w:t>
      </w:r>
      <w:r>
        <w:rPr>
          <w:b/>
          <w:sz w:val="26"/>
          <w:szCs w:val="26"/>
        </w:rPr>
        <w:t xml:space="preserve">егистрации права собственности покупателя на объект (в случае отсутствия)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Обременение по лоту № </w:t>
      </w:r>
      <w:r>
        <w:rPr>
          <w:b/>
          <w:sz w:val="26"/>
          <w:szCs w:val="26"/>
          <w:u w:val="single"/>
        </w:rPr>
        <w:t xml:space="preserve">2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нежилое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помещение с кадастровым номером </w:t>
      </w:r>
      <w:r>
        <w:rPr>
          <w:b/>
          <w:sz w:val="26"/>
          <w:szCs w:val="26"/>
        </w:rPr>
        <w:t xml:space="preserve">52:18:0050007:175</w:t>
      </w:r>
      <w:r>
        <w:rPr>
          <w:b/>
          <w:sz w:val="26"/>
          <w:szCs w:val="26"/>
        </w:rPr>
        <w:t xml:space="preserve"> расположено</w:t>
      </w:r>
      <w:r>
        <w:rPr>
          <w:b/>
          <w:sz w:val="26"/>
          <w:szCs w:val="26"/>
        </w:rPr>
        <w:t xml:space="preserve"> в здании, </w:t>
      </w:r>
      <w:r>
        <w:rPr>
          <w:b/>
          <w:sz w:val="26"/>
          <w:szCs w:val="26"/>
        </w:rPr>
        <w:t xml:space="preserve">являющемся объектом культурного наследия регионального значения – </w:t>
      </w:r>
      <w:r>
        <w:rPr>
          <w:b/>
          <w:sz w:val="26"/>
          <w:szCs w:val="26"/>
        </w:rPr>
        <w:t xml:space="preserve">«Жилой</w:t>
      </w:r>
      <w:r>
        <w:rPr>
          <w:b/>
          <w:sz w:val="26"/>
          <w:szCs w:val="26"/>
        </w:rPr>
        <w:t xml:space="preserve"> дом с кинотеатром «Искра», включенным в единый государственный реестр объектов культурного наследия (памятников истории и культуры) народов Российской Федерации на основании решения Нижегородского областного Совета народных депутатов от 31.08.1993 № 288-м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Приказом Управления государственной охраны объектов культурного наследия Нижегородской области </w:t>
      </w:r>
      <w:r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19.02.2016 № 33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на данный объект культурного наследия</w:t>
      </w:r>
      <w:r>
        <w:rPr>
          <w:b/>
          <w:sz w:val="26"/>
          <w:szCs w:val="26"/>
        </w:rPr>
        <w:t xml:space="preserve"> утверждено охранное обязательство собственника </w:t>
      </w:r>
      <w:r>
        <w:rPr>
          <w:b/>
          <w:sz w:val="26"/>
          <w:szCs w:val="26"/>
        </w:rPr>
        <w:t xml:space="preserve">или иного законного владельца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b/>
          <w:sz w:val="26"/>
          <w:szCs w:val="26"/>
        </w:rPr>
        <w:t xml:space="preserve"> (далее – Охранное обязательство от </w:t>
      </w:r>
      <w:r>
        <w:rPr>
          <w:b/>
          <w:sz w:val="26"/>
          <w:szCs w:val="26"/>
        </w:rPr>
        <w:t xml:space="preserve">19.02.2016 № 33</w:t>
      </w:r>
      <w:r>
        <w:rPr>
          <w:b/>
          <w:sz w:val="26"/>
          <w:szCs w:val="26"/>
        </w:rPr>
        <w:t xml:space="preserve">) (приложение № 4 к информационному сообщению)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выполня</w:t>
      </w:r>
      <w:r>
        <w:rPr>
          <w:b/>
          <w:sz w:val="26"/>
          <w:szCs w:val="26"/>
        </w:rPr>
        <w:t xml:space="preserve">ть требования, предусмотренные О</w:t>
      </w:r>
      <w:r>
        <w:rPr>
          <w:b/>
          <w:sz w:val="26"/>
          <w:szCs w:val="26"/>
        </w:rPr>
        <w:t xml:space="preserve">хранным обязательством</w:t>
      </w:r>
      <w:r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</w:rPr>
        <w:t xml:space="preserve">19.02.2016 № 33</w:t>
      </w:r>
      <w:r>
        <w:rPr>
          <w:b/>
          <w:sz w:val="26"/>
          <w:szCs w:val="26"/>
        </w:rPr>
        <w:t xml:space="preserve">, порядок и условия их выполнения,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а также требования, установленные </w:t>
      </w:r>
      <w:r>
        <w:rPr>
          <w:b/>
          <w:sz w:val="26"/>
          <w:szCs w:val="26"/>
        </w:rPr>
        <w:t xml:space="preserve">Федеральным законом</w:t>
      </w:r>
      <w:r>
        <w:rPr>
          <w:b/>
          <w:sz w:val="26"/>
          <w:szCs w:val="26"/>
        </w:rPr>
        <w:t xml:space="preserve"> от 25.06.2002 № 73-ФЗ «Об объектах культурного наследия (памятниках истории и культуры) народов Российской Федерации»</w:t>
      </w:r>
      <w:r>
        <w:rPr>
          <w:b/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далее – Федеральный закон № 73-ФЗ)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Покупатель обязан у</w:t>
      </w:r>
      <w:r>
        <w:rPr>
          <w:b/>
          <w:sz w:val="26"/>
          <w:szCs w:val="26"/>
        </w:rPr>
        <w:t xml:space="preserve">становить в соответствии с Федеральным законом 73-ФЗ информационную надпись и обозначение на фаса</w:t>
      </w:r>
      <w:r>
        <w:rPr>
          <w:b/>
          <w:sz w:val="26"/>
          <w:szCs w:val="26"/>
        </w:rPr>
        <w:t xml:space="preserve">де здания, в котором находится объект</w:t>
      </w:r>
      <w:r>
        <w:rPr>
          <w:b/>
          <w:sz w:val="26"/>
          <w:szCs w:val="26"/>
        </w:rPr>
        <w:t xml:space="preserve">, содержащую информацию об объекте культурного наследия, в течение одного года с момента р</w:t>
      </w:r>
      <w:r>
        <w:rPr>
          <w:b/>
          <w:sz w:val="26"/>
          <w:szCs w:val="26"/>
        </w:rPr>
        <w:t xml:space="preserve">егистрации права собственности покупателя на объект (в случае отсутствия)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u w:val="single"/>
          <w:lang w:bidi="ru-RU"/>
        </w:rPr>
      </w:pPr>
      <w:r>
        <w:rPr>
          <w:color w:val="000000"/>
          <w:sz w:val="26"/>
          <w:szCs w:val="26"/>
          <w:u w:val="single"/>
          <w:lang w:bidi="ru-RU"/>
        </w:rPr>
      </w:r>
      <w:r>
        <w:rPr>
          <w:color w:val="000000"/>
          <w:sz w:val="26"/>
          <w:szCs w:val="26"/>
          <w:u w:val="single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1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Аукционы от 12.03.2025 № 5406421, от 21.04.2025 № 5418116 </w:t>
      </w:r>
      <w:r>
        <w:rPr>
          <w:color w:val="000000"/>
          <w:sz w:val="26"/>
          <w:szCs w:val="26"/>
          <w:lang w:bidi="ru-RU"/>
        </w:rPr>
        <w:t xml:space="preserve">по продаже не состоялись</w:t>
      </w:r>
      <w:r>
        <w:rPr>
          <w:color w:val="000000"/>
          <w:sz w:val="26"/>
          <w:szCs w:val="26"/>
          <w:lang w:bidi="ru-RU"/>
        </w:rPr>
        <w:t xml:space="preserve"> в связи с тем, что не было подано ни одной заявки на участие либо ни один из претендентов не признан участником</w:t>
      </w:r>
      <w:r>
        <w:rPr>
          <w:color w:val="000000"/>
          <w:sz w:val="26"/>
          <w:szCs w:val="26"/>
          <w:lang w:bidi="ru-RU"/>
        </w:rPr>
        <w:t xml:space="preserve">.</w:t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2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Аукционы от </w:t>
      </w:r>
      <w:r>
        <w:rPr>
          <w:color w:val="000000"/>
          <w:sz w:val="26"/>
          <w:szCs w:val="26"/>
          <w:lang w:bidi="ru-RU"/>
        </w:rPr>
        <w:t xml:space="preserve">26.02.2025 № 5401983</w:t>
      </w:r>
      <w:r>
        <w:rPr>
          <w:sz w:val="26"/>
          <w:szCs w:val="26"/>
        </w:rPr>
        <w:t xml:space="preserve">, от </w:t>
      </w:r>
      <w:r>
        <w:rPr>
          <w:sz w:val="26"/>
          <w:szCs w:val="26"/>
        </w:rPr>
        <w:t xml:space="preserve">07</w:t>
      </w:r>
      <w:r>
        <w:rPr>
          <w:sz w:val="26"/>
          <w:szCs w:val="26"/>
        </w:rPr>
        <w:t xml:space="preserve">.04.2025 № </w:t>
      </w:r>
      <w:r>
        <w:rPr>
          <w:sz w:val="26"/>
          <w:szCs w:val="26"/>
        </w:rPr>
        <w:t xml:space="preserve">5414119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по продаже не состоялись</w:t>
      </w:r>
      <w:r>
        <w:rPr>
          <w:color w:val="000000"/>
          <w:sz w:val="26"/>
          <w:szCs w:val="26"/>
          <w:lang w:bidi="ru-RU"/>
        </w:rPr>
        <w:t xml:space="preserve"> в связи с тем, что не было подано ни одной заявки на участие либо ни один из претендентов не признан участником</w:t>
      </w:r>
      <w:r>
        <w:rPr>
          <w:color w:val="000000"/>
          <w:sz w:val="26"/>
          <w:szCs w:val="26"/>
          <w:lang w:bidi="ru-RU"/>
        </w:rPr>
        <w:t xml:space="preserve">.</w:t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1</w:t>
      </w:r>
      <w:r>
        <w:rPr>
          <w:rFonts w:eastAsia="Calibri"/>
          <w:sz w:val="26"/>
          <w:szCs w:val="26"/>
        </w:rPr>
        <w:t xml:space="preserve">8</w:t>
      </w:r>
      <w:r>
        <w:rPr>
          <w:rFonts w:eastAsia="Calibri"/>
          <w:sz w:val="26"/>
          <w:szCs w:val="26"/>
        </w:rPr>
        <w:t xml:space="preserve">.02.2026 в 15:00.</w:t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13.04</w:t>
      </w:r>
      <w:r>
        <w:rPr>
          <w:rFonts w:eastAsia="Calibri"/>
          <w:sz w:val="26"/>
          <w:szCs w:val="26"/>
        </w:rPr>
        <w:t xml:space="preserve">.2026 в 15:00.</w:t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1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.0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14.04</w:t>
      </w:r>
      <w:r>
        <w:rPr>
          <w:rFonts w:eastAsia="Calibri"/>
          <w:sz w:val="26"/>
          <w:szCs w:val="26"/>
        </w:rPr>
        <w:t xml:space="preserve">.2026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15.04</w:t>
      </w:r>
      <w:r>
        <w:rPr>
          <w:b/>
          <w:sz w:val="26"/>
          <w:szCs w:val="26"/>
          <w:u w:val="single"/>
        </w:rPr>
        <w:t xml:space="preserve">.2026 в 09:30.</w:t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</w:t>
      </w:r>
      <w:r>
        <w:rPr>
          <w:b/>
          <w:sz w:val="26"/>
          <w:szCs w:val="26"/>
        </w:rPr>
        <w:t xml:space="preserve">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Кстовский</w:t>
      </w:r>
      <w:r>
        <w:rPr>
          <w:b/>
          <w:sz w:val="26"/>
          <w:szCs w:val="26"/>
        </w:rPr>
        <w:t xml:space="preserve"> район: 453-92-50 (доб.324).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435-69-24.</w:t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</w:t>
      </w:r>
      <w:r>
        <w:rPr>
          <w:rFonts w:eastAsia="Calibri"/>
          <w:color w:val="000000"/>
          <w:sz w:val="26"/>
          <w:szCs w:val="26"/>
        </w:rPr>
        <w:t xml:space="preserve">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 лица, признан</w:t>
      </w:r>
      <w:r>
        <w:rPr>
          <w:b w:val="0"/>
          <w:color w:val="000000"/>
        </w:rPr>
        <w:t xml:space="preserve">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</w:t>
      </w:r>
      <w:r>
        <w:rPr>
          <w:rFonts w:eastAsia="Calibri"/>
          <w:color w:val="000000"/>
          <w:sz w:val="26"/>
          <w:szCs w:val="26"/>
        </w:rPr>
        <w:t xml:space="preserve">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</w:t>
      </w:r>
      <w:r>
        <w:rPr>
          <w:rFonts w:eastAsia="Calibri"/>
          <w:color w:val="000000"/>
          <w:sz w:val="26"/>
          <w:szCs w:val="26"/>
        </w:rPr>
        <w:t xml:space="preserve">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__________ № _____».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 xml:space="preserve">на соответствующий счет</w:t>
      </w:r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продажи имущества в счет обеспечения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284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Helvetica">
    <w:panose1 w:val="020B0604020202020204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0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5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1"/>
  </w:num>
  <w:num w:numId="2">
    <w:abstractNumId w:val="22"/>
  </w:num>
  <w:num w:numId="3">
    <w:abstractNumId w:val="15"/>
  </w:num>
  <w:num w:numId="4">
    <w:abstractNumId w:val="20"/>
  </w:num>
  <w:num w:numId="5">
    <w:abstractNumId w:val="19"/>
  </w:num>
  <w:num w:numId="6">
    <w:abstractNumId w:val="21"/>
  </w:num>
  <w:num w:numId="7">
    <w:abstractNumId w:val="23"/>
  </w:num>
  <w:num w:numId="8">
    <w:abstractNumId w:val="25"/>
  </w:num>
  <w:num w:numId="9">
    <w:abstractNumId w:val="5"/>
  </w:num>
  <w:num w:numId="10">
    <w:abstractNumId w:val="1"/>
  </w:num>
  <w:num w:numId="11">
    <w:abstractNumId w:val="17"/>
  </w:num>
  <w:num w:numId="12">
    <w:abstractNumId w:val="8"/>
  </w:num>
  <w:num w:numId="13">
    <w:abstractNumId w:val="12"/>
  </w:num>
  <w:num w:numId="14">
    <w:abstractNumId w:val="24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13"/>
  </w:num>
  <w:num w:numId="20">
    <w:abstractNumId w:val="2"/>
  </w:num>
  <w:num w:numId="21">
    <w:abstractNumId w:val="0"/>
  </w:num>
  <w:num w:numId="22">
    <w:abstractNumId w:val="6"/>
  </w:num>
  <w:num w:numId="23">
    <w:abstractNumId w:val="9"/>
  </w:num>
  <w:num w:numId="24">
    <w:abstractNumId w:val="4"/>
  </w:num>
  <w:num w:numId="25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link w:val="908"/>
    <w:uiPriority w:val="10"/>
    <w:rPr>
      <w:sz w:val="48"/>
      <w:szCs w:val="48"/>
    </w:rPr>
  </w:style>
  <w:style w:type="character" w:styleId="727" w:customStyle="1">
    <w:name w:val="Quote Char"/>
    <w:link w:val="746"/>
    <w:uiPriority w:val="29"/>
    <w:rPr>
      <w:i/>
    </w:rPr>
  </w:style>
  <w:style w:type="character" w:styleId="728" w:customStyle="1">
    <w:name w:val="Intense Quote Char"/>
    <w:link w:val="748"/>
    <w:uiPriority w:val="30"/>
    <w:rPr>
      <w:i/>
    </w:rPr>
  </w:style>
  <w:style w:type="character" w:styleId="729" w:customStyle="1">
    <w:name w:val="Footnote Text Char"/>
    <w:link w:val="880"/>
    <w:uiPriority w:val="99"/>
    <w:rPr>
      <w:sz w:val="18"/>
    </w:rPr>
  </w:style>
  <w:style w:type="character" w:styleId="730" w:customStyle="1">
    <w:name w:val="Endnote Text Char"/>
    <w:link w:val="883"/>
    <w:uiPriority w:val="99"/>
    <w:rPr>
      <w:sz w:val="20"/>
    </w:rPr>
  </w:style>
  <w:style w:type="character" w:styleId="731" w:customStyle="1">
    <w:name w:val="Heading 1 Char"/>
    <w:basedOn w:val="723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3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3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3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3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3"/>
    <w:link w:val="908"/>
    <w:uiPriority w:val="10"/>
    <w:rPr>
      <w:sz w:val="48"/>
      <w:szCs w:val="48"/>
    </w:rPr>
  </w:style>
  <w:style w:type="character" w:styleId="745" w:customStyle="1">
    <w:name w:val="Subtitle Char"/>
    <w:basedOn w:val="723"/>
    <w:link w:val="911"/>
    <w:uiPriority w:val="11"/>
    <w:rPr>
      <w:sz w:val="24"/>
      <w:szCs w:val="24"/>
    </w:rPr>
  </w:style>
  <w:style w:type="paragraph" w:styleId="746">
    <w:name w:val="Quote"/>
    <w:basedOn w:val="722"/>
    <w:next w:val="72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2"/>
    <w:next w:val="72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3"/>
    <w:link w:val="918"/>
    <w:uiPriority w:val="99"/>
  </w:style>
  <w:style w:type="character" w:styleId="751" w:customStyle="1">
    <w:name w:val="Footer Char"/>
    <w:basedOn w:val="723"/>
    <w:link w:val="920"/>
    <w:uiPriority w:val="99"/>
  </w:style>
  <w:style w:type="paragraph" w:styleId="752" w:customStyle="1">
    <w:name w:val="Caption"/>
    <w:basedOn w:val="722"/>
    <w:next w:val="722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3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2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3"/>
    <w:uiPriority w:val="99"/>
    <w:unhideWhenUsed/>
    <w:rPr>
      <w:vertAlign w:val="superscript"/>
    </w:rPr>
  </w:style>
  <w:style w:type="paragraph" w:styleId="883">
    <w:name w:val="endnote text"/>
    <w:basedOn w:val="722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3"/>
    <w:uiPriority w:val="99"/>
    <w:semiHidden/>
    <w:unhideWhenUsed/>
    <w:rPr>
      <w:vertAlign w:val="superscript"/>
    </w:rPr>
  </w:style>
  <w:style w:type="paragraph" w:styleId="886">
    <w:name w:val="toc 1"/>
    <w:basedOn w:val="722"/>
    <w:next w:val="722"/>
    <w:uiPriority w:val="39"/>
    <w:unhideWhenUsed/>
    <w:pPr>
      <w:spacing w:after="57"/>
    </w:pPr>
  </w:style>
  <w:style w:type="paragraph" w:styleId="88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8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8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2"/>
    <w:next w:val="722"/>
    <w:uiPriority w:val="99"/>
    <w:unhideWhenUsed/>
  </w:style>
  <w:style w:type="paragraph" w:styleId="897" w:customStyle="1">
    <w:name w:val="Heading 1"/>
    <w:basedOn w:val="722"/>
    <w:next w:val="722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2"/>
    <w:next w:val="722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2"/>
    <w:next w:val="722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2"/>
    <w:next w:val="722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2"/>
    <w:next w:val="722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2"/>
    <w:link w:val="928"/>
    <w:pPr>
      <w:jc w:val="both"/>
    </w:pPr>
  </w:style>
  <w:style w:type="paragraph" w:styleId="903">
    <w:name w:val="Body Text 2"/>
    <w:basedOn w:val="722"/>
    <w:link w:val="929"/>
    <w:pPr>
      <w:jc w:val="center"/>
    </w:pPr>
    <w:rPr>
      <w:sz w:val="18"/>
    </w:rPr>
  </w:style>
  <w:style w:type="paragraph" w:styleId="904">
    <w:name w:val="Body Text 3"/>
    <w:basedOn w:val="722"/>
    <w:pPr>
      <w:jc w:val="center"/>
    </w:pPr>
    <w:rPr>
      <w:b/>
      <w:sz w:val="18"/>
    </w:rPr>
  </w:style>
  <w:style w:type="paragraph" w:styleId="905">
    <w:name w:val="Body Text Indent"/>
    <w:basedOn w:val="722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2"/>
    <w:pPr>
      <w:ind w:firstLine="426"/>
      <w:widowControl w:val="off"/>
    </w:pPr>
    <w:rPr>
      <w:sz w:val="24"/>
    </w:rPr>
  </w:style>
  <w:style w:type="paragraph" w:styleId="907">
    <w:name w:val="Body Text Indent 2"/>
    <w:basedOn w:val="722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2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2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2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2"/>
    <w:link w:val="913"/>
    <w:qFormat/>
    <w:pPr>
      <w:jc w:val="both"/>
    </w:pPr>
    <w:rPr>
      <w:sz w:val="24"/>
    </w:rPr>
  </w:style>
  <w:style w:type="character" w:styleId="912">
    <w:name w:val="Hyperlink"/>
    <w:basedOn w:val="723"/>
    <w:rPr>
      <w:color w:val="0000ff"/>
      <w:u w:val="single"/>
    </w:rPr>
  </w:style>
  <w:style w:type="character" w:styleId="913" w:customStyle="1">
    <w:name w:val="Подзаголовок Знак"/>
    <w:basedOn w:val="723"/>
    <w:link w:val="911"/>
    <w:rPr>
      <w:sz w:val="24"/>
      <w:lang w:val="ru-RU" w:eastAsia="ru-RU" w:bidi="ar-SA"/>
    </w:rPr>
  </w:style>
  <w:style w:type="paragraph" w:styleId="914">
    <w:name w:val="Body Text Indent 3"/>
    <w:basedOn w:val="722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3"/>
    <w:link w:val="918"/>
    <w:uiPriority w:val="99"/>
  </w:style>
  <w:style w:type="paragraph" w:styleId="920" w:customStyle="1">
    <w:name w:val="Footer"/>
    <w:basedOn w:val="722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3"/>
    <w:link w:val="920"/>
  </w:style>
  <w:style w:type="character" w:styleId="922">
    <w:name w:val="FollowedHyperlink"/>
    <w:basedOn w:val="723"/>
    <w:rPr>
      <w:color w:val="800080"/>
      <w:u w:val="single"/>
    </w:rPr>
  </w:style>
  <w:style w:type="paragraph" w:styleId="923" w:customStyle="1">
    <w:name w:val="rezul"/>
    <w:basedOn w:val="722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2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2"/>
    <w:next w:val="722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3"/>
    <w:link w:val="902"/>
  </w:style>
  <w:style w:type="character" w:styleId="929" w:customStyle="1">
    <w:name w:val="Основной текст 2 Знак"/>
    <w:basedOn w:val="723"/>
    <w:link w:val="903"/>
    <w:rPr>
      <w:sz w:val="18"/>
    </w:rPr>
  </w:style>
  <w:style w:type="paragraph" w:styleId="930">
    <w:name w:val="List Paragraph"/>
    <w:basedOn w:val="722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3"/>
    <w:link w:val="907"/>
    <w:rPr>
      <w:sz w:val="24"/>
    </w:rPr>
  </w:style>
  <w:style w:type="character" w:styleId="933" w:customStyle="1">
    <w:name w:val="Body text (2) + 11 pt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  <w:style w:type="paragraph" w:styleId="937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F9618-AC42-412B-A70C-60A8FAFB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7</cp:revision>
  <dcterms:created xsi:type="dcterms:W3CDTF">2026-02-10T09:11:00Z</dcterms:created>
  <dcterms:modified xsi:type="dcterms:W3CDTF">2026-02-16T08:14:15Z</dcterms:modified>
</cp:coreProperties>
</file>