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ИЗВЕЩЕНИЕ О ПРОВЕДЕНИИ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АУКЦИОНА В ЭЛЕКТРОННОЙ ФОРМЕ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 право заключения договора аренды земельного участка, расположенного по адресу: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Российская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Федерация, Нижегородская область,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городской округ город Нижний Новго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род, город Нижний Новгород, деревня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Ольгино, севернее земельного участка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№ 23, кадастровый номер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52:18:0080260:19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с видом разрешенного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использования: для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ь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ж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щ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ь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ТОЛЬКО ДЛЯ ГРАЖДАН - ФИЗИЧЕСКИХ ЛИЦ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начала приема заявок: 16.04.2026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окончания приема заявок: 29.04.2026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аукциона: 04.05.2026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left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г. Нижний Новгород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2026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1.  Правовое регулирование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>
        <w:rPr>
          <w:rFonts w:ascii="Times New Roman" w:hAnsi="Times New Roman" w:cs="Times New Roman"/>
          <w:color w:val="ff0000"/>
          <w:sz w:val="24"/>
          <w:szCs w:val="24"/>
          <w:highlight w:val="white"/>
        </w:rPr>
        <w:t xml:space="preserve">ТОЛЬКО ДЛЯ ГРАЖДАН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(далее – аукцион), проводится в соответствии с требованиями: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Гражданского кодекса Российской Федерации;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Федерального закона от 26.07.2006 № 135-ФЗ «О защите конкуренции»;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Постановления Правительства Российской Федерации от 10.05.2018 № 564 «О</w:t>
      </w:r>
      <w:r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постановления администрации города Нижнего Новгорода от 16.04.2026 № 3010 «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 проведении аукциона в электронной форме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на право заключения договора аренды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земельного участка, расположенного по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адресу: Российская Федерация,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Нижегородская область, городской округ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город Нижний Новгород, город Нижний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Новгород, деревня Ольгино, севернее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земельного участка № 23, кадастровый номер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52:18:0080260:192, с видом разрешенного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использования: для индивидуального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жилищного строительства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»;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иных нормативно правовых актов Российской Федерации и Нижегородской области.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2.  Сведения об аукционе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2.1.  Продавец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– Администрация города Нижнего Новгорода.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603082, город Нижний Новгород, Кремль, корп.5.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hyperlink r:id="rId11" w:tooltip="http://www.нижнийновгород.рф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hyperlink r:id="rId12" w:tooltip="mailto:ann@admgor.nnov.ru" w:history="1">
        <w:r>
          <w:rPr>
            <w:rFonts w:ascii="Times New Roman" w:hAnsi="Times New Roman" w:cs="Times New Roman"/>
            <w:sz w:val="24"/>
            <w:szCs w:val="24"/>
            <w:highlight w:val="white"/>
          </w:rPr>
          <w:t xml:space="preserve">ann@admgor.nnov.ru</w:t>
        </w:r>
      </w:hyperlink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7 (831) 467-10-03.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2.2.  Организатор аукциона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– Комитет по управлению городским имуществом и земельными ресурсами администрации города Нижнего Новгорода.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603005, г. Н.Новгород, улица Большая Покровская, дом 15.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hyperlink r:id="rId13" w:tooltip="mailto:kugi@admgor.nnov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lang w:val="en-US"/>
          </w:rPr>
          <w:t xml:space="preserve">kugi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@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lang w:val="en-US"/>
          </w:rPr>
          <w:t xml:space="preserve">admgor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.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lang w:val="en-US"/>
          </w:rPr>
          <w:t xml:space="preserve">nnov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.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7 (831) 435-69-33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2.3.  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Оператор электронной площадки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(далее – Оператор электронной площадки) – юридическое ли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от 18.07.2011 № 223-ФЗ».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Наименование: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АО «Электронные торговые системы».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123112, г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.М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осква,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ул.Тестовская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д.10, этаж 18, помещ.1, комната 13.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hyperlink r:id="rId14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hyperlink r:id="rId15" w:tooltip="mailto:realty@etpz.ru" w:history="1">
        <w:r>
          <w:rPr>
            <w:rStyle w:val="886"/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realty@etpz.ru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7 (495) 514-02-04.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2.4.  Предмет аукциона: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земельный участок, государственная собственность на который не разграничена, расположенный по адресу:</w:t>
      </w:r>
      <w:r/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Российская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Федерация, Нижегородская область,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городской округ город Нижний Новго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род, город Нижний Новгород, деревня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Ольгино, севернее земельного участка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№ 23, кадастровый номер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52:18:0080260:19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с видом разрешенного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использования: для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ь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ж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щ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ь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(далее – земельный участок).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2.5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Сведения о земельном участке: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b w:val="0"/>
          <w:bCs w:val="0"/>
          <w:highlight w:val="white"/>
        </w:rPr>
      </w:pPr>
      <w:r>
        <w:rPr>
          <w:rStyle w:val="898"/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Местоположение: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Российская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Федерация, Нижегородская область,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городской округ город Нижний Новго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род, город Нижний Новгород, деревня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Ольгино, севернее земельного участка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№ 23</w:t>
      </w:r>
      <w:r>
        <w:rPr>
          <w:rStyle w:val="890"/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.</w:t>
      </w:r>
      <w:r>
        <w:rPr>
          <w:b w:val="0"/>
          <w:bCs w:val="0"/>
          <w:highlight w:val="white"/>
        </w:rPr>
      </w:r>
      <w:r>
        <w:rPr>
          <w:b w:val="0"/>
          <w:bCs w:val="0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Площадь: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515 +/-8 кв.м.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Кадастровый номер: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52:18:0080260:192.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Категория земель: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земли населенных пунктов.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Виды разрешенного использования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:</w:t>
      </w:r>
      <w:r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Ограничения (обременения) права на земельный участок: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не зарегистрированы.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Сведения о правах на земельный участок: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государственная собственность не разграничена.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Градостроительный план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земельного участка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(Приложение № 1)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расположенного по адресу:</w:t>
      </w:r>
      <w:r>
        <w:rPr>
          <w:rStyle w:val="898"/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Нижегородская область, городской округ город Нижний Новгород, город Нижний Новгород, деревня Ольгино, севернее земельного участка № 23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№ РФ-52-2-01-0-00-2025-0950-0, дата выдачи 08.10.2025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Градостроительный план содержит сведения: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о виде или видах разрешенного использования земельного участка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(п.2.2 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радостроительного плана земельного участка)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left="0" w:right="0" w:firstLine="708"/>
        <w:jc w:val="both"/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- о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принадлежности земельного участка к определенной территориальной зоне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(абз.1 п.2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радостроительного плана земельного участка)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о максимально и (или) минимально допустимых параметрах разрешенного строительства объекта капитального строительства (п.2.3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радостроительного плана земельного участка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);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о наличии или отсутствии ограничений в использовании земельного участка (п.5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радостроительного плана земельного участка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);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о возможности подключения (технологического присоединения) объекта капитального строительства к сетям инженерно-технического обеспечения (п.9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радостроительного плана земельного участка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2.6.  Срок аренды земельного участка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: 20 лет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 даты подписания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договора аренды земельного участка.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2.7.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Начальная цена предмета аукциона (размер ежегодной арендной платы) –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140 500 (сто сорок тысяч пятьсот)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рублей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/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Размер ежегодной арендной платы определен на основании отчета № 284-24/04 от 17.10.2025 об оценке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объекта оценки: земельный участок, площадью 515 кв.м., кадастровый номер: 52:18:0080260:192, адрес: Российская Федерация, Нижегородская область, городской округ город Нижний Новгород, город Нижний Новгород, деревня Ольгино, севернее земельного участка № 23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выполненного ООО «АЛЕКСА-ГРУПП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» в соответствии с законодательством Российской Федерации об оценочной деятельности.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Арендная плата вносится согласно разделу 4 договора аренды земельного участка (Приложение № 3).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 досрочного расторжения договора аренды арендная плата за первый год не возвращается независимо от причин расторжения.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tabs>
          <w:tab w:val="left" w:pos="7450" w:leader="none"/>
        </w:tabs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2.8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.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Шаг аукциона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: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 7 025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руб.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2.9.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Обеспечение участия в аукционе: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заявитель вносит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задаток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размере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140 500 (сто сорок тысяч пятьсот)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рублей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2.10.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Размер платы Оператору электронной площадки за участие в аукционе, взимаемой с лица, признанного победителем аукциона (далее – Победитель), а также иных лиц, с которым договор аренды земельного участка закл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-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Регламент и Инструкции), и размещен по адресу в информационно-телекоммуникационной сети «Интернет»: </w:t>
      </w:r>
      <w:hyperlink r:id="rId16" w:tooltip="https://www.fabrikant.ru/rules/common?category-id=1716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 (далее - вознаграждения за оказанные услуги).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2.11.  Место приема заявок на участие в аукционе (далее - Заявка):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электронная площадка </w:t>
      </w:r>
      <w:hyperlink r:id="rId17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2.12.  Дата и время начала приема заявок: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16.04.2026 в 18 час. 00 мин.* Прием Заявок осуществляется круглосуточно.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* Здесь и далее указано московское время. 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2.13.  Дата и время окончания срока приема заявок и начала их рассмотрения: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29.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04.2026 в 12 час. 00 мин.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2.14.  Дата окончания рассмотрения Заявок: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30.04.2026.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2.15.  Место проведения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электронная площадка </w:t>
      </w:r>
      <w:hyperlink r:id="rId18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2.16.  Дата и время начала проведения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04.05.2026 в 10 час. 00 мин.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3.  Информационное обеспечение аукциона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b w:val="0"/>
          <w:bCs w:val="0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3.1.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26.02.2026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Организатором торгов было размещено извещение о предоставлении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земельного участка в соответствии с подпунктом 1 пункта 1 статьи 39.18 Земельного кодекса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Российской Федерации.</w:t>
      </w:r>
      <w:r>
        <w:rPr>
          <w:b w:val="0"/>
          <w:bCs w:val="0"/>
          <w:highlight w:val="white"/>
        </w:rPr>
      </w:r>
      <w:r>
        <w:rPr>
          <w:b w:val="0"/>
          <w:bCs w:val="0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3.2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Извещение о проведении аукциона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9" w:tooltip="http://www.torgi.gov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  (далее – Официальный сайт торгов), на официальном сайте администрации города Нижнего Новгорода: </w:t>
      </w:r>
      <w:hyperlink r:id="rId20" w:tooltip="http://www.нижнийновгород.рф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на электронной площадке: </w:t>
      </w:r>
      <w:hyperlink r:id="rId21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 (далее – электронная площадка) в соответствии с действующим законодательством.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Все приложения к Извещению являются его неотъемлемой частью.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3.3.  Осмотр земельного участка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на местности производится лицами, желающими участвовать в аукционе,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самостоятельно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4.  Требования к Заявителям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Заявителями на участие в аукционе (далее – Заявитель, Заявители) могут быть 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>
        <w:rPr>
          <w:rFonts w:ascii="Times New Roman" w:hAnsi="Times New Roman" w:cs="Times New Roman"/>
          <w:sz w:val="24"/>
          <w:szCs w:val="24"/>
          <w:highlight w:val="white"/>
        </w:rPr>
        <w:br/>
        <w:t xml:space="preserve">(далее - ЭП), и ПРОШЕДШИЕ РЕГИСТРАЦИЮ (АККРЕДИТАЦИЮ) В КАЧЕСТВЕ</w:t>
      </w:r>
      <w:r>
        <w:rPr>
          <w:rFonts w:ascii="Times New Roman" w:hAnsi="Times New Roman" w:cs="Times New Roman"/>
          <w:color w:val="ff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ФИЗИЧЕСКОГО ЛИЦА (НЕ ИНДИВИДУАЛЬНОГО ПРЕДПРИНИМАТЕЛЯ) на электронной площадке в соответствии с Регламентом и Инструкциями.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5.  Получение ЭП и регистрация (аккредитация) на электронной площадке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5.1.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На Официальном сайте торгов (</w:t>
      </w:r>
      <w:hyperlink r:id="rId22" w:tooltip="http://www.torgi.gov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5.2.  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5.3.  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прохождения процедуры регистрации на Официальном сайте торгов (</w:t>
      </w:r>
      <w:hyperlink r:id="rId23" w:tooltip="http://www.torgi.gov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) или первичной регистрации на электронной площадке Заявителю необходимо иметь ЭП,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оформленную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соответствии с требованиями действующего законодательства.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5.4.  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Информация по получению ЭП и регистрации (аккредитации) на электронной площадке размещена по адресу в информационно-телекоммуникационной сети «Интернет»: </w:t>
      </w:r>
      <w:hyperlink r:id="rId24" w:tooltip="https://www.fabrikant.ru/rules/common?category-id=1547" w:history="1">
        <w:r>
          <w:rPr>
            <w:rFonts w:ascii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 xml:space="preserve"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highlight w:val="white"/>
          <w:u w:val="single"/>
        </w:rPr>
        <w:t xml:space="preserve">; </w:t>
      </w:r>
      <w:hyperlink r:id="rId25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5.5.  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если от имени За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6.  Порядок внесения, блокирования и прекращения блокирования денежных сре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дств в к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ачестве задатка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6.1.  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участия в аукционе устанавливается требование о внесении задатка.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6.2.  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целях исполнения требований о внесении задатка для участия в аукционе Заявитель с учетом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требований Разделов 4, 5 Извещения обеспечивает наличие денежных средств на счете Оператора электронной площадки в размере, не менее суммы задатка, указанного в пункте 2.9 Извещения.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Перечисление денежных средств на счет Оператора электронной площадки производится в соответствии с Регламентом и Инструкциями по следующим реквизитам: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Банковские реквизиты: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БИК 044525593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Расчётный счёт: 40702810301400020601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Корр. счёт 30101810200000000593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АО «АЛЬФА-БАНК»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ИНН 7703668940 КПП 770301001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Назначение платежа: «Пополнение лицевого счета № _______ по заявке №_______ без НДС».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6.3.  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внесения задатка Заявитель может сформировать платежное поручение в разделе личного кабинета «Электронный кошелек», при этом назначение платежа будет заполнено автоматически.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Информация по «Электронному кошельку»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fffff"/>
        </w:rPr>
        <w:t xml:space="preserve"> </w:t>
      </w:r>
      <w:hyperlink r:id="rId26" w:tooltip="https://www.fabrikant.ru/rules/common?category-id=1705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shd w:val="clear" w:color="auto" w:fill="ffffff"/>
          </w:rPr>
          <w:t xml:space="preserve"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Заявителя, следовательно, такие денежные средства не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будут отражены на лицевом счете Заявителя и их нельзя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будет использовать в качестве задатка по торгам.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Оператора электронной площадки.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6.4.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Заявитель для внесения задатка должен выполнить следующие действия: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обеспечить на своем лицевом счете в личном кабинете наличие суммы свободных денежных сре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дств в 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азмере не меньшем, чем сумма задатка, требуемая для участия в торгах;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 (пункт 2.9 Извещения).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6.5.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Внесением задатка признается блокирование суммы денежных средств на лицевом счете Заявителя до наступления времени окончания подачи заявок на участие в таких торгах. После наступления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времени окончания срока подачи заявок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для участия в торгах блокирование денежных средств для участия в таких торгах невозможно.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6.6.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Заявитель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6.7.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Денежные средства, заблокированные на лицевом счете Заявителя в качестве задатка, </w:t>
      </w:r>
      <w:bookmarkStart w:id="0" w:name="undefined"/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разблокируются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следующих случаях, если иное не установлено Регламентом: </w:t>
      </w:r>
      <w:bookmarkEnd w:id="0"/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недопуск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Заявителя к участию в торгах на этапе рассмотрения заявок (после размещения на электронной торговой площадке соответствующего протокола);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отмены торгов Организатором аукциона (после размещения на электронной торговой площадке соответствующего извещения);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отзыв заявки (до момента окончания срока приема заявок) Заявителем.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Заявитель осуществляет возврат (вывод) денежных средств, находящихся на его лицевом счете и не заблокированных в качестве задатков, в любое время. Для этого Заявитель заполняет в электронной форме Заявление на вывод денежных сре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ицевого счета (с указанием корректных банковских реквизитов) и заверяет его электронной подписью. Перечисление денежных средств осуществляется Оператором электронной площадки в течение 5 рабочих дней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 даты получения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такого Заявления при условии, что в Заявлении указаны корректные банковские реквизиты.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 возврате (выводе) денежных сре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ицевого счета такие денежные средства могут быть возвращены только самому Заявителю (в качестве получателя платежа указывается исключительно сам владелец лицевого счета).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Возврат по реквизитам третьих лиц не осуществляется.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6.8.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Задаток победителя аукциона, а также задаток иного лица,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платы за земельный участок.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Перечисление задатка Организатору аукциона в счет платы за земельный участок осуществляется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Задатки, внесенные указанными в настоящем пункте лицами, не заключившими в установленном в Извещении порядке договор аренды земельного участка вследствие уклонения от заключения указанного договора,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не возвращаются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6.9.  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Возврат (вывод) денежных средств осуществляется в порядке, указанном в п.п.6.7.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7.  Порядок расчетов и условия взимания вознаграждения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7.1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 В соответствии с Регламентом и Инструкциями установлено требование о взимании вознаграждения за оказанные услуги.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7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.2.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Участник, признанный в протоколе об итогах торгов Победителем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установленном в соответствии Регламентом, размещенном по адресу в информационно-телекоммуникационной сети «Интернет»: https://www.fabrikant.ru/rules/common?category-id=1716.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7.3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Размер платы определяется тарифами электронной площадки, утвержденными оператором и размещенными в открытой части электронной площадки по адресу: https://www.fabrikant.ru/personal/tariff/landing.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Рекомендуемое назначение платежа: Обеспечительный платеж для участия в торговой процедуре № (указать номер процедуры на электронной площадке и лот).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7.4.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Сумма обеспечительного платежа должна быть перечислена единым платежом.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Заявителя, в назначении платежа необходимо дополнительно указать ИНН и наименование такого Заяви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теля, за которого внесен обеспечительный платеж.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7.5.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Обеспечительный платеж Участника засчитывается в счёт исполнения таким Участником обязательства по оплате вознаграждения Оператору электронной площадки.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7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.6.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После завершения процедуры, а также в случае отмены аукциона, отзыва Заявителем своей заявки на участие в аукционе, Заявитель вправе обратиться за возвратом ему денежных средств, внесенных им в качестве обеспечительного платежа и не подлежащих зачету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счет исполнения его обязательства по оплате вознаграждения Оператору электронной площадки.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озврат таких денежных средств осуществляется после направления Заявителем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(https://www.fabrik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ant.ru/), либо путем направления официального письма в адрес Оператора электронной площадки.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Перечисление денежных средств осуществляется Оператором электронной площадки в течение 5 рабочих дней (со дня, следующего за днем получения такого обращения Оператором) при условии, что Заявитель указал корректные банковские реквизиты. </w:t>
      </w:r>
      <w:r>
        <w:rPr>
          <w:highlight w:val="white"/>
        </w:rPr>
      </w:r>
      <w:r>
        <w:rPr>
          <w:highlight w:val="white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Возврат по реквизитам третьих лиц не осуществляется.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8.  Порядок, форма и срок приема и отзыва Заявок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8.1.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Прием Заявок обеспечивается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8.2.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Заявка (Приложение № 2) направляется Заявителем Оператору электронной площадки в сроки, указанные в пунктах 2.12, 2.13 Извещения, в форме электронного документ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копии документов, удостоверяющих личность заявителя (копии разворотов паспорта с фотографией и пропиской).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Один Заявитель вправе подать только одну Заявку.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8.3.  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8.4.  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предоставления Заявки, подписанной ЭП лица, не уполномоченного действовать от имени Заявителя;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подачи одним Заявителем двух и более Заявок при условии, что поданные ранее Заявки не отозваны;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получения Заявки после установленных в пункте 2.13 Извещении дня и времени окончания срока приема Заявок;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некорректного заполнения формы заявки, в том числе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незаполнения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полей, являющихся обязательными для заполнения;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в других случаях, предусмотренных Регламентом.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Возврат Заявок по иным основаниям не допускается.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8.5.  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Заявку. При этом Оператор электронной площадки направляет Заявителю соответствующее уведомление.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8.6.  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Заявитель вправе отозвать Заявку в любое время до установленных даты и времени окончания срока приема Заявок (пункт 2.13 Извещения)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8.7.  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2.13 Извещения) в порядке, установленном пунктами 8.1-8.4 Извещения.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8.8.  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Прием Заявок прекращается Оператором электронной площадки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дств в 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ату и время окончания срока приема Заявок, указанные в пункте 2.13 Извещения.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8.9.  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8.10.  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После окончания срока приема Заявок (пункт 2.13 Извещения) Оператор электронной площадки направляет Заявки Организатору аукциона.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8.11.  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Организатор аукциона 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Организатор аукциона в течение 3 (трех) дней со дня принятия решения об отказе в проведен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ии ау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кциона обязан известить участников аукциона об отказе в проведении аукциона.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9.  Порядок рассмотрения Заявок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9.1.  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Рассмотрение Заявок осуществляется Аукционной комиссией.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9.2.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Заявитель не допускается к участию в аукционе в следующих случаях: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highlight w:val="white"/>
        </w:rPr>
      </w:pP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noBreakHyphen/>
        <w:t xml:space="preserve"> непредставление необходимых для участия в аукционе документов или представление недостоверных сведений;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highlight w:val="white"/>
        </w:rPr>
      </w:pP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t xml:space="preserve">непоступление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t xml:space="preserve"> от заявителя задатка на дату рассмотрения Заявок на участие в 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t xml:space="preserve">аукционе;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highlight w:val="white"/>
        </w:rPr>
      </w:pP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noBreakHyphen/>
        <w:t xml:space="preserve"> подача Заявки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highlight w:val="white"/>
        </w:rPr>
      </w:pP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noBreakHyphen/>
        <w:t xml:space="preserve"> наличие сведений о Заявителе в реестре недобросовестных участников аукциона.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9.3.  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9.4.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Заявителям, признанным Участниками, и Заявителям, не допущенным к участию в 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укционе, Оператор электронной площадки направляет в электронной форме в Личные кабинеты Заявителей уведомления о принятых в их отношении решениях, не позднее следующего рабочего дня после дня подписания протокола рассмотрения заявок на участие в аукционе.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9.5.  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указанных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пункте 2.16 Извещения.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10.  Порядок проведения аукциона</w:t>
      </w:r>
      <w:r>
        <w:rPr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10.1.  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Проведение аукциона обеспечивается Оператором электронной площадки.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10.2.  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  <w:t xml:space="preserve">по электронной подписи.</w:t>
      </w:r>
      <w:r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10.3.  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Процедура аукциона проводится в день и время, указанные в пункте 2.16 Извещения. Время проведения аукциона не должно совпадать со временем проведения профилактических работ на электронной площадке.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10.4.  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Аукцион проводится путем повышения Начальной цены Предмета аукциона на «шаг аукциона», установленный пунктом 2.8 Извещения.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10.5.  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Если в течение 10 (десяти) минут со 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10.6.  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 (десять) минут.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10.7.  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Аукцион завершается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10.8.  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Победителем признается Участник, предложивший наибольшую цену Предмета аукциона.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10.9.  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Ход проведения 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роцедуры аукциона фиксируется Оператором электронной площадки в электронном журнале, который направляется Организатору аукциона в течение 1 (одного) часа со времени завершения аукциона для подготовки Организатором аукциона протокола о результатах аукциона.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10.10.  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10.11.  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10.12.  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Аукцион признается несостоявшимся в случаях, если: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 по окончании срока подачи Заявок не подано ни одной Заявки;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по окончании срока подачи Заявок была подана только одна Заявка;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на основании результатов рассмотрения Заявок принято решение об отказе в допуске к участию в аукционе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всех Заявителей;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 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в случае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rPr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11.  Условия и сроки заключения договора аренды земельного участка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11.1.  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Заключение 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оговора аренды земельного участка (Приложение № 3)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11.2.  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Договор аренды земельного участка заключается в электронной форме и подписывается ЭП уполномоченного представителя Продавца и победителя аукциона или 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ного лица, с которым заключается договор аренды земельного участка в соответствии с Земельным кодексом Российской Федерации в разделе Личного кабинета «Реестр договоров». Информация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fffff"/>
        </w:rPr>
        <w:t xml:space="preserve"> </w:t>
      </w:r>
      <w:hyperlink r:id="rId27" w:tooltip="https://www.fabrikant.ru/rules/common?category-id=1705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shd w:val="clear" w:color="auto" w:fill="ffffff"/>
          </w:rPr>
          <w:t xml:space="preserve">https://www.fabrikant.ru/rules/common?category-id=1705</w:t>
        </w:r>
      </w:hyperlink>
      <w:r>
        <w:rPr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11.3.  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Не допускается заключение договора аренды земельного участка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ранее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11.4.  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если аукцион признан несостоявшимся и только один Заявитель признан Участником, Продавец в течение 5 (пяти) дней со дня истечения срока, предусмотренного пунк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том 11.3 Извещения, направляет такому Участнику в раздел Личный кабинет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11.5.  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если по окончании срок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 подачи Заявок подана только одна Заявка на участие в аукционе,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ктом 11.3 Извещения, направляет такому Заявителю в раздел Личный кабинет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11.6.  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Продавец направляет в раздел Личный кабинет «Реестр договоров» победителю аукциона подписанный проект договора аренды земельного участка в течение 5 (пяти) дней со дня истечения срока, предусмотренного пунктом 11.3 Извещения.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11.7.  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Победитель аукциона или иное лицо, с которым заключается договор аренды земельного участка в со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ответствии с пунктами 13, 14 или 20 ст.39.12 Земельного кодекса Российской Федерации, обязаны подписать договор аренды земельного участка в течение 10 (десяти) рабочих дней со дня направления ему в раздел Личный кабинет «Реестр договоров» такого договора.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11.8.  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 был им подписан в разделе Личный кабинет «Реестр договоров», Продавец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11.9.  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случае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если в течение 10 (десяти) рабочих дней со дня направления в раздел Личный кабинет «Реестр договоров» Участнику аукциона, который сделал предпоследнее предложение о цене предмета аукциона, проекта договора аренды земельного участка, такой Участник не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11.10.  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если победитель аукциона или иное лицо, с которым заключается договор аренды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земельного участка в соответствии с пунктами 13, 14, 20 или 25 ст.39.12 Земельного кодекса Российской Федерации, в течение 10 (десяти) рабочих дней со дня направления ему Организатором в раздел Личный кабинет «Реестр договоров» проекта указанного договора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sectPr>
      <w:headerReference w:type="default" r:id="rId9"/>
      <w:footnotePr/>
      <w:endnotePr/>
      <w:type w:val="nextPage"/>
      <w:pgSz w:w="11906" w:h="16838" w:orient="portrait"/>
      <w:pgMar w:top="567" w:right="707" w:bottom="426" w:left="1276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63130095"/>
      <w:docPartObj>
        <w:docPartGallery w:val="Page Numbers (Top of Page)"/>
        <w:docPartUnique w:val="true"/>
      </w:docPartObj>
      <w:rPr/>
    </w:sdtPr>
    <w:sdtContent>
      <w:p>
        <w:pPr>
          <w:pStyle w:val="881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8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2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3" w:hanging="39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363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5" w:hanging="36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855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57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9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3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5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95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6"/>
        <w:szCs w:val="26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5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5" w:default="1">
    <w:name w:val="Normal"/>
    <w:qFormat/>
  </w:style>
  <w:style w:type="character" w:styleId="696" w:default="1">
    <w:name w:val="Default Paragraph Font"/>
    <w:uiPriority w:val="1"/>
    <w:semiHidden/>
    <w:unhideWhenUsed/>
  </w:style>
  <w:style w:type="table" w:styleId="69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8" w:default="1">
    <w:name w:val="No List"/>
    <w:uiPriority w:val="99"/>
    <w:semiHidden/>
    <w:unhideWhenUsed/>
  </w:style>
  <w:style w:type="character" w:styleId="699" w:customStyle="1">
    <w:name w:val="Title Char"/>
    <w:basedOn w:val="696"/>
    <w:link w:val="724"/>
    <w:uiPriority w:val="10"/>
    <w:rPr>
      <w:sz w:val="48"/>
      <w:szCs w:val="48"/>
    </w:rPr>
  </w:style>
  <w:style w:type="character" w:styleId="700" w:customStyle="1">
    <w:name w:val="Subtitle Char"/>
    <w:basedOn w:val="696"/>
    <w:link w:val="726"/>
    <w:uiPriority w:val="11"/>
    <w:rPr>
      <w:sz w:val="24"/>
      <w:szCs w:val="24"/>
    </w:rPr>
  </w:style>
  <w:style w:type="character" w:styleId="701" w:customStyle="1">
    <w:name w:val="Quote Char"/>
    <w:link w:val="728"/>
    <w:uiPriority w:val="29"/>
    <w:rPr>
      <w:i/>
    </w:rPr>
  </w:style>
  <w:style w:type="character" w:styleId="702" w:customStyle="1">
    <w:name w:val="Intense Quote Char"/>
    <w:link w:val="730"/>
    <w:uiPriority w:val="30"/>
    <w:rPr>
      <w:i/>
    </w:rPr>
  </w:style>
  <w:style w:type="character" w:styleId="703" w:customStyle="1">
    <w:name w:val="Footnote Text Char"/>
    <w:link w:val="862"/>
    <w:uiPriority w:val="99"/>
    <w:rPr>
      <w:sz w:val="18"/>
    </w:rPr>
  </w:style>
  <w:style w:type="character" w:styleId="704" w:customStyle="1">
    <w:name w:val="Endnote Text Char"/>
    <w:link w:val="865"/>
    <w:uiPriority w:val="99"/>
    <w:rPr>
      <w:sz w:val="20"/>
    </w:rPr>
  </w:style>
  <w:style w:type="paragraph" w:styleId="705" w:customStyle="1">
    <w:name w:val="Heading 1"/>
    <w:basedOn w:val="695"/>
    <w:next w:val="695"/>
    <w:link w:val="70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706" w:customStyle="1">
    <w:name w:val="Heading 1 Char"/>
    <w:basedOn w:val="696"/>
    <w:link w:val="705"/>
    <w:uiPriority w:val="9"/>
    <w:rPr>
      <w:rFonts w:ascii="Arial" w:hAnsi="Arial" w:eastAsia="Arial" w:cs="Arial"/>
      <w:sz w:val="40"/>
      <w:szCs w:val="40"/>
    </w:rPr>
  </w:style>
  <w:style w:type="paragraph" w:styleId="707" w:customStyle="1">
    <w:name w:val="Heading 2"/>
    <w:basedOn w:val="695"/>
    <w:next w:val="695"/>
    <w:link w:val="708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708" w:customStyle="1">
    <w:name w:val="Heading 2 Char"/>
    <w:basedOn w:val="696"/>
    <w:link w:val="707"/>
    <w:uiPriority w:val="9"/>
    <w:rPr>
      <w:rFonts w:ascii="Arial" w:hAnsi="Arial" w:eastAsia="Arial" w:cs="Arial"/>
      <w:sz w:val="34"/>
    </w:rPr>
  </w:style>
  <w:style w:type="paragraph" w:styleId="709" w:customStyle="1">
    <w:name w:val="Heading 3"/>
    <w:basedOn w:val="695"/>
    <w:next w:val="695"/>
    <w:link w:val="71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710" w:customStyle="1">
    <w:name w:val="Heading 3 Char"/>
    <w:basedOn w:val="696"/>
    <w:link w:val="709"/>
    <w:uiPriority w:val="9"/>
    <w:rPr>
      <w:rFonts w:ascii="Arial" w:hAnsi="Arial" w:eastAsia="Arial" w:cs="Arial"/>
      <w:sz w:val="30"/>
      <w:szCs w:val="30"/>
    </w:rPr>
  </w:style>
  <w:style w:type="paragraph" w:styleId="711" w:customStyle="1">
    <w:name w:val="Heading 4"/>
    <w:basedOn w:val="695"/>
    <w:next w:val="695"/>
    <w:link w:val="712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2" w:customStyle="1">
    <w:name w:val="Heading 4 Char"/>
    <w:basedOn w:val="696"/>
    <w:link w:val="711"/>
    <w:uiPriority w:val="9"/>
    <w:rPr>
      <w:rFonts w:ascii="Arial" w:hAnsi="Arial" w:eastAsia="Arial" w:cs="Arial"/>
      <w:b/>
      <w:bCs/>
      <w:sz w:val="26"/>
      <w:szCs w:val="26"/>
    </w:rPr>
  </w:style>
  <w:style w:type="paragraph" w:styleId="713" w:customStyle="1">
    <w:name w:val="Heading 5"/>
    <w:basedOn w:val="695"/>
    <w:next w:val="695"/>
    <w:link w:val="71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4" w:customStyle="1">
    <w:name w:val="Heading 5 Char"/>
    <w:basedOn w:val="696"/>
    <w:link w:val="713"/>
    <w:uiPriority w:val="9"/>
    <w:rPr>
      <w:rFonts w:ascii="Arial" w:hAnsi="Arial" w:eastAsia="Arial" w:cs="Arial"/>
      <w:b/>
      <w:bCs/>
      <w:sz w:val="24"/>
      <w:szCs w:val="24"/>
    </w:rPr>
  </w:style>
  <w:style w:type="paragraph" w:styleId="715" w:customStyle="1">
    <w:name w:val="Heading 6"/>
    <w:basedOn w:val="695"/>
    <w:next w:val="695"/>
    <w:link w:val="716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716" w:customStyle="1">
    <w:name w:val="Heading 6 Char"/>
    <w:basedOn w:val="696"/>
    <w:link w:val="715"/>
    <w:uiPriority w:val="9"/>
    <w:rPr>
      <w:rFonts w:ascii="Arial" w:hAnsi="Arial" w:eastAsia="Arial" w:cs="Arial"/>
      <w:b/>
      <w:bCs/>
      <w:sz w:val="22"/>
      <w:szCs w:val="22"/>
    </w:rPr>
  </w:style>
  <w:style w:type="paragraph" w:styleId="717" w:customStyle="1">
    <w:name w:val="Heading 7"/>
    <w:basedOn w:val="695"/>
    <w:next w:val="695"/>
    <w:link w:val="71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718" w:customStyle="1">
    <w:name w:val="Heading 7 Char"/>
    <w:basedOn w:val="696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9" w:customStyle="1">
    <w:name w:val="Heading 8"/>
    <w:basedOn w:val="695"/>
    <w:next w:val="695"/>
    <w:link w:val="72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720" w:customStyle="1">
    <w:name w:val="Heading 8 Char"/>
    <w:basedOn w:val="696"/>
    <w:link w:val="719"/>
    <w:uiPriority w:val="9"/>
    <w:rPr>
      <w:rFonts w:ascii="Arial" w:hAnsi="Arial" w:eastAsia="Arial" w:cs="Arial"/>
      <w:i/>
      <w:iCs/>
      <w:sz w:val="22"/>
      <w:szCs w:val="22"/>
    </w:rPr>
  </w:style>
  <w:style w:type="paragraph" w:styleId="721" w:customStyle="1">
    <w:name w:val="Heading 9"/>
    <w:basedOn w:val="695"/>
    <w:next w:val="695"/>
    <w:link w:val="72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2" w:customStyle="1">
    <w:name w:val="Heading 9 Char"/>
    <w:basedOn w:val="696"/>
    <w:link w:val="721"/>
    <w:uiPriority w:val="9"/>
    <w:rPr>
      <w:rFonts w:ascii="Arial" w:hAnsi="Arial" w:eastAsia="Arial" w:cs="Arial"/>
      <w:i/>
      <w:iCs/>
      <w:sz w:val="21"/>
      <w:szCs w:val="21"/>
    </w:rPr>
  </w:style>
  <w:style w:type="paragraph" w:styleId="723">
    <w:name w:val="No Spacing"/>
    <w:uiPriority w:val="1"/>
    <w:qFormat/>
    <w:pPr>
      <w:spacing w:after="0" w:line="240" w:lineRule="auto"/>
    </w:pPr>
  </w:style>
  <w:style w:type="paragraph" w:styleId="724">
    <w:name w:val="Title"/>
    <w:basedOn w:val="695"/>
    <w:next w:val="695"/>
    <w:link w:val="725"/>
    <w:uiPriority w:val="10"/>
    <w:qFormat/>
    <w:pPr>
      <w:contextualSpacing/>
      <w:spacing w:before="300"/>
    </w:pPr>
    <w:rPr>
      <w:sz w:val="48"/>
      <w:szCs w:val="48"/>
    </w:rPr>
  </w:style>
  <w:style w:type="character" w:styleId="725" w:customStyle="1">
    <w:name w:val="Название Знак"/>
    <w:basedOn w:val="696"/>
    <w:link w:val="724"/>
    <w:uiPriority w:val="10"/>
    <w:rPr>
      <w:sz w:val="48"/>
      <w:szCs w:val="48"/>
    </w:rPr>
  </w:style>
  <w:style w:type="paragraph" w:styleId="726">
    <w:name w:val="Subtitle"/>
    <w:basedOn w:val="695"/>
    <w:next w:val="695"/>
    <w:link w:val="727"/>
    <w:uiPriority w:val="11"/>
    <w:qFormat/>
    <w:pPr>
      <w:spacing w:before="200"/>
    </w:pPr>
    <w:rPr>
      <w:sz w:val="24"/>
      <w:szCs w:val="24"/>
    </w:rPr>
  </w:style>
  <w:style w:type="character" w:styleId="727" w:customStyle="1">
    <w:name w:val="Подзаголовок Знак"/>
    <w:basedOn w:val="696"/>
    <w:link w:val="726"/>
    <w:uiPriority w:val="11"/>
    <w:rPr>
      <w:sz w:val="24"/>
      <w:szCs w:val="24"/>
    </w:rPr>
  </w:style>
  <w:style w:type="paragraph" w:styleId="728">
    <w:name w:val="Quote"/>
    <w:basedOn w:val="695"/>
    <w:next w:val="695"/>
    <w:link w:val="729"/>
    <w:uiPriority w:val="29"/>
    <w:qFormat/>
    <w:pPr>
      <w:ind w:left="720" w:right="720"/>
    </w:pPr>
    <w:rPr>
      <w:i/>
    </w:rPr>
  </w:style>
  <w:style w:type="character" w:styleId="729" w:customStyle="1">
    <w:name w:val="Цитата 2 Знак"/>
    <w:link w:val="728"/>
    <w:uiPriority w:val="29"/>
    <w:rPr>
      <w:i/>
    </w:rPr>
  </w:style>
  <w:style w:type="paragraph" w:styleId="730">
    <w:name w:val="Intense Quote"/>
    <w:basedOn w:val="695"/>
    <w:next w:val="695"/>
    <w:link w:val="73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 w:customStyle="1">
    <w:name w:val="Выделенная цитата Знак"/>
    <w:link w:val="730"/>
    <w:uiPriority w:val="30"/>
    <w:rPr>
      <w:i/>
    </w:rPr>
  </w:style>
  <w:style w:type="character" w:styleId="732" w:customStyle="1">
    <w:name w:val="Header Char"/>
    <w:basedOn w:val="696"/>
    <w:link w:val="881"/>
    <w:uiPriority w:val="99"/>
  </w:style>
  <w:style w:type="character" w:styleId="733" w:customStyle="1">
    <w:name w:val="Footer Char"/>
    <w:basedOn w:val="696"/>
    <w:link w:val="883"/>
    <w:uiPriority w:val="99"/>
  </w:style>
  <w:style w:type="paragraph" w:styleId="734" w:customStyle="1">
    <w:name w:val="Caption"/>
    <w:basedOn w:val="695"/>
    <w:next w:val="695"/>
    <w:link w:val="735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5" w:customStyle="1">
    <w:name w:val="Caption Char"/>
    <w:basedOn w:val="696"/>
    <w:link w:val="734"/>
    <w:uiPriority w:val="35"/>
    <w:rPr>
      <w:b/>
      <w:bCs/>
      <w:color w:val="4f81bd" w:themeColor="accent1"/>
      <w:sz w:val="18"/>
      <w:szCs w:val="18"/>
    </w:rPr>
  </w:style>
  <w:style w:type="table" w:styleId="736">
    <w:name w:val="Table Grid"/>
    <w:basedOn w:val="69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 w:customStyle="1">
    <w:name w:val="Table Grid Light"/>
    <w:basedOn w:val="69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 w:customStyle="1">
    <w:name w:val="Plain Table 1"/>
    <w:basedOn w:val="69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 w:customStyle="1">
    <w:name w:val="Plain Table 2"/>
    <w:basedOn w:val="69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 w:customStyle="1">
    <w:name w:val="Plain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 w:customStyle="1">
    <w:name w:val="Plain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Plain Table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 w:customStyle="1">
    <w:name w:val="Grid Table 4 - Accent 1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6" w:customStyle="1">
    <w:name w:val="Grid Table 4 - Accent 2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7" w:customStyle="1">
    <w:name w:val="Grid Table 4 - Accent 3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8" w:customStyle="1">
    <w:name w:val="Grid Table 4 - Accent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9" w:customStyle="1">
    <w:name w:val="Grid Table 4 - Accent 5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0" w:customStyle="1">
    <w:name w:val="Grid Table 4 - Accent 6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1" w:customStyle="1">
    <w:name w:val="Grid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9" w:customStyle="1">
    <w:name w:val="Grid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0" w:customStyle="1">
    <w:name w:val="Grid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1" w:customStyle="1">
    <w:name w:val="Grid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2" w:customStyle="1">
    <w:name w:val="Grid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3" w:customStyle="1">
    <w:name w:val="Grid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4" w:customStyle="1">
    <w:name w:val="Grid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5" w:customStyle="1">
    <w:name w:val="Grid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6" w:customStyle="1">
    <w:name w:val="List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8" w:customStyle="1">
    <w:name w:val="List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9" w:customStyle="1">
    <w:name w:val="List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0" w:customStyle="1">
    <w:name w:val="List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1" w:customStyle="1">
    <w:name w:val="List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2" w:customStyle="1">
    <w:name w:val="List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3" w:customStyle="1">
    <w:name w:val="List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4" w:customStyle="1">
    <w:name w:val="List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ned - Accent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2" w:customStyle="1">
    <w:name w:val="Lined - Accent 1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3" w:customStyle="1">
    <w:name w:val="Lined - Accent 2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4" w:customStyle="1">
    <w:name w:val="Lined - Accent 3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5" w:customStyle="1">
    <w:name w:val="Lined - Accent 4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6" w:customStyle="1">
    <w:name w:val="Lined - Accent 5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7" w:customStyle="1">
    <w:name w:val="Lined - Accent 6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8" w:customStyle="1">
    <w:name w:val="Bordered &amp; Lined - Accent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Bordered &amp; Lined - Accent 1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0" w:customStyle="1">
    <w:name w:val="Bordered &amp; Lined - Accent 2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1" w:customStyle="1">
    <w:name w:val="Bordered &amp; Lined - Accent 3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2" w:customStyle="1">
    <w:name w:val="Bordered &amp; Lined - Accent 4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3" w:customStyle="1">
    <w:name w:val="Bordered &amp; Lined - Accent 5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4" w:customStyle="1">
    <w:name w:val="Bordered &amp; Lined - Accent 6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5" w:customStyle="1">
    <w:name w:val="Bordered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6" w:customStyle="1">
    <w:name w:val="Bordered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7" w:customStyle="1">
    <w:name w:val="Bordered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8" w:customStyle="1">
    <w:name w:val="Bordered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9" w:customStyle="1">
    <w:name w:val="Bordered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0" w:customStyle="1">
    <w:name w:val="Bordered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1" w:customStyle="1">
    <w:name w:val="Bordered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2">
    <w:name w:val="footnote text"/>
    <w:basedOn w:val="695"/>
    <w:link w:val="863"/>
    <w:uiPriority w:val="99"/>
    <w:semiHidden/>
    <w:unhideWhenUsed/>
    <w:pPr>
      <w:spacing w:after="40" w:line="240" w:lineRule="auto"/>
    </w:pPr>
    <w:rPr>
      <w:sz w:val="18"/>
    </w:rPr>
  </w:style>
  <w:style w:type="character" w:styleId="863" w:customStyle="1">
    <w:name w:val="Текст сноски Знак"/>
    <w:link w:val="862"/>
    <w:uiPriority w:val="99"/>
    <w:rPr>
      <w:sz w:val="18"/>
    </w:rPr>
  </w:style>
  <w:style w:type="character" w:styleId="864">
    <w:name w:val="footnote reference"/>
    <w:basedOn w:val="696"/>
    <w:uiPriority w:val="99"/>
    <w:unhideWhenUsed/>
    <w:rPr>
      <w:vertAlign w:val="superscript"/>
    </w:rPr>
  </w:style>
  <w:style w:type="paragraph" w:styleId="865">
    <w:name w:val="endnote text"/>
    <w:basedOn w:val="695"/>
    <w:link w:val="866"/>
    <w:uiPriority w:val="99"/>
    <w:semiHidden/>
    <w:unhideWhenUsed/>
    <w:pPr>
      <w:spacing w:after="0" w:line="240" w:lineRule="auto"/>
    </w:pPr>
    <w:rPr>
      <w:sz w:val="20"/>
    </w:rPr>
  </w:style>
  <w:style w:type="character" w:styleId="866" w:customStyle="1">
    <w:name w:val="Текст концевой сноски Знак"/>
    <w:link w:val="865"/>
    <w:uiPriority w:val="99"/>
    <w:rPr>
      <w:sz w:val="20"/>
    </w:rPr>
  </w:style>
  <w:style w:type="character" w:styleId="867">
    <w:name w:val="endnote reference"/>
    <w:basedOn w:val="696"/>
    <w:uiPriority w:val="99"/>
    <w:semiHidden/>
    <w:unhideWhenUsed/>
    <w:rPr>
      <w:vertAlign w:val="superscript"/>
    </w:rPr>
  </w:style>
  <w:style w:type="paragraph" w:styleId="868">
    <w:name w:val="toc 1"/>
    <w:basedOn w:val="695"/>
    <w:next w:val="695"/>
    <w:uiPriority w:val="39"/>
    <w:unhideWhenUsed/>
    <w:pPr>
      <w:spacing w:after="57"/>
    </w:pPr>
  </w:style>
  <w:style w:type="paragraph" w:styleId="869">
    <w:name w:val="toc 2"/>
    <w:basedOn w:val="695"/>
    <w:next w:val="695"/>
    <w:uiPriority w:val="39"/>
    <w:unhideWhenUsed/>
    <w:pPr>
      <w:ind w:left="283"/>
      <w:spacing w:after="57"/>
    </w:pPr>
  </w:style>
  <w:style w:type="paragraph" w:styleId="870">
    <w:name w:val="toc 3"/>
    <w:basedOn w:val="695"/>
    <w:next w:val="695"/>
    <w:uiPriority w:val="39"/>
    <w:unhideWhenUsed/>
    <w:pPr>
      <w:ind w:left="567"/>
      <w:spacing w:after="57"/>
    </w:pPr>
  </w:style>
  <w:style w:type="paragraph" w:styleId="871">
    <w:name w:val="toc 4"/>
    <w:basedOn w:val="695"/>
    <w:next w:val="695"/>
    <w:uiPriority w:val="39"/>
    <w:unhideWhenUsed/>
    <w:pPr>
      <w:ind w:left="850"/>
      <w:spacing w:after="57"/>
    </w:pPr>
  </w:style>
  <w:style w:type="paragraph" w:styleId="872">
    <w:name w:val="toc 5"/>
    <w:basedOn w:val="695"/>
    <w:next w:val="695"/>
    <w:uiPriority w:val="39"/>
    <w:unhideWhenUsed/>
    <w:pPr>
      <w:ind w:left="1134"/>
      <w:spacing w:after="57"/>
    </w:pPr>
  </w:style>
  <w:style w:type="paragraph" w:styleId="873">
    <w:name w:val="toc 6"/>
    <w:basedOn w:val="695"/>
    <w:next w:val="695"/>
    <w:uiPriority w:val="39"/>
    <w:unhideWhenUsed/>
    <w:pPr>
      <w:ind w:left="1417"/>
      <w:spacing w:after="57"/>
    </w:pPr>
  </w:style>
  <w:style w:type="paragraph" w:styleId="874">
    <w:name w:val="toc 7"/>
    <w:basedOn w:val="695"/>
    <w:next w:val="695"/>
    <w:uiPriority w:val="39"/>
    <w:unhideWhenUsed/>
    <w:pPr>
      <w:ind w:left="1701"/>
      <w:spacing w:after="57"/>
    </w:pPr>
  </w:style>
  <w:style w:type="paragraph" w:styleId="875">
    <w:name w:val="toc 8"/>
    <w:basedOn w:val="695"/>
    <w:next w:val="695"/>
    <w:uiPriority w:val="39"/>
    <w:unhideWhenUsed/>
    <w:pPr>
      <w:ind w:left="1984"/>
      <w:spacing w:after="57"/>
    </w:pPr>
  </w:style>
  <w:style w:type="paragraph" w:styleId="876">
    <w:name w:val="toc 9"/>
    <w:basedOn w:val="695"/>
    <w:next w:val="695"/>
    <w:uiPriority w:val="39"/>
    <w:unhideWhenUsed/>
    <w:pPr>
      <w:ind w:left="2268"/>
      <w:spacing w:after="57"/>
    </w:pPr>
  </w:style>
  <w:style w:type="paragraph" w:styleId="877">
    <w:name w:val="TOC Heading"/>
    <w:uiPriority w:val="39"/>
    <w:unhideWhenUsed/>
  </w:style>
  <w:style w:type="paragraph" w:styleId="878">
    <w:name w:val="table of figures"/>
    <w:basedOn w:val="695"/>
    <w:next w:val="695"/>
    <w:uiPriority w:val="99"/>
    <w:unhideWhenUsed/>
    <w:pPr>
      <w:spacing w:after="0"/>
    </w:pPr>
  </w:style>
  <w:style w:type="paragraph" w:styleId="879">
    <w:name w:val="Body Text 3"/>
    <w:basedOn w:val="695"/>
    <w:link w:val="880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880" w:customStyle="1">
    <w:name w:val="Основной текст 3 Знак"/>
    <w:basedOn w:val="696"/>
    <w:link w:val="879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881" w:customStyle="1">
    <w:name w:val="Header"/>
    <w:basedOn w:val="695"/>
    <w:link w:val="88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2" w:customStyle="1">
    <w:name w:val="Верхний колонтитул Знак"/>
    <w:basedOn w:val="696"/>
    <w:link w:val="881"/>
    <w:uiPriority w:val="99"/>
  </w:style>
  <w:style w:type="paragraph" w:styleId="883" w:customStyle="1">
    <w:name w:val="Footer"/>
    <w:basedOn w:val="695"/>
    <w:link w:val="884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4" w:customStyle="1">
    <w:name w:val="Нижний колонтитул Знак"/>
    <w:basedOn w:val="696"/>
    <w:link w:val="883"/>
    <w:uiPriority w:val="99"/>
    <w:semiHidden/>
  </w:style>
  <w:style w:type="paragraph" w:styleId="885">
    <w:name w:val="List Paragraph"/>
    <w:basedOn w:val="695"/>
    <w:uiPriority w:val="34"/>
    <w:qFormat/>
    <w:pPr>
      <w:contextualSpacing/>
      <w:ind w:left="720"/>
    </w:pPr>
  </w:style>
  <w:style w:type="character" w:styleId="886">
    <w:name w:val="Hyperlink"/>
    <w:basedOn w:val="696"/>
    <w:uiPriority w:val="99"/>
    <w:unhideWhenUsed/>
    <w:rPr>
      <w:color w:val="0000ff" w:themeColor="hyperlink"/>
      <w:u w:val="single"/>
    </w:rPr>
  </w:style>
  <w:style w:type="paragraph" w:styleId="887">
    <w:name w:val="Body Text 2"/>
    <w:basedOn w:val="695"/>
    <w:link w:val="888"/>
    <w:uiPriority w:val="99"/>
    <w:semiHidden/>
    <w:unhideWhenUsed/>
    <w:pPr>
      <w:spacing w:after="120" w:line="480" w:lineRule="auto"/>
    </w:pPr>
  </w:style>
  <w:style w:type="character" w:styleId="888" w:customStyle="1">
    <w:name w:val="Основной текст 2 Знак"/>
    <w:basedOn w:val="696"/>
    <w:link w:val="887"/>
    <w:uiPriority w:val="99"/>
    <w:semiHidden/>
  </w:style>
  <w:style w:type="paragraph" w:styleId="889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ru-RU"/>
    </w:rPr>
  </w:style>
  <w:style w:type="character" w:styleId="890" w:customStyle="1">
    <w:name w:val="Date_num"/>
    <w:basedOn w:val="696"/>
  </w:style>
  <w:style w:type="character" w:styleId="891" w:customStyle="1">
    <w:name w:val="Unresolved Mention"/>
    <w:basedOn w:val="696"/>
    <w:uiPriority w:val="99"/>
    <w:semiHidden/>
    <w:unhideWhenUsed/>
    <w:rPr>
      <w:color w:val="605e5c"/>
      <w:shd w:val="clear" w:color="auto" w:fill="e1dfdd"/>
    </w:rPr>
  </w:style>
  <w:style w:type="paragraph" w:styleId="892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paragraph" w:styleId="893">
    <w:name w:val="Body Text Indent 2"/>
    <w:basedOn w:val="695"/>
    <w:link w:val="894"/>
    <w:uiPriority w:val="99"/>
    <w:unhideWhenUsed/>
    <w:pPr>
      <w:ind w:left="283"/>
      <w:spacing w:after="120" w:line="480" w:lineRule="auto"/>
    </w:pPr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894" w:customStyle="1">
    <w:name w:val="Основной текст с отступом 2 Знак"/>
    <w:basedOn w:val="696"/>
    <w:link w:val="893"/>
    <w:uiPriority w:val="99"/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895">
    <w:name w:val="Balloon Text"/>
    <w:basedOn w:val="695"/>
    <w:link w:val="89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6" w:customStyle="1">
    <w:name w:val="Текст выноски Знак"/>
    <w:basedOn w:val="696"/>
    <w:link w:val="895"/>
    <w:uiPriority w:val="99"/>
    <w:semiHidden/>
    <w:rPr>
      <w:rFonts w:ascii="Tahoma" w:hAnsi="Tahoma" w:cs="Tahoma"/>
      <w:sz w:val="16"/>
      <w:szCs w:val="16"/>
    </w:rPr>
  </w:style>
  <w:style w:type="paragraph" w:styleId="897" w:customStyle="1">
    <w:name w:val="rezul"/>
    <w:basedOn w:val="695"/>
    <w:pPr>
      <w:ind w:firstLine="283"/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b/>
      <w:szCs w:val="20"/>
      <w:lang w:val="en-US"/>
    </w:rPr>
  </w:style>
  <w:style w:type="character" w:styleId="898" w:customStyle="1">
    <w:name w:val="docdata"/>
    <w:basedOn w:val="696"/>
  </w:style>
  <w:style w:type="paragraph" w:styleId="899">
    <w:name w:val="Normal (Web)"/>
    <w:basedOn w:val="695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&#1085;&#1080;&#1078;&#1085;&#1080;&#1081;&#1085;&#1086;&#1074;&#1075;&#1086;&#1088;&#1086;&#1076;.&#1088;&#1092;" TargetMode="External"/><Relationship Id="rId12" Type="http://schemas.openxmlformats.org/officeDocument/2006/relationships/hyperlink" Target="mailto:ann@admgor.nnov.ru" TargetMode="External"/><Relationship Id="rId13" Type="http://schemas.openxmlformats.org/officeDocument/2006/relationships/hyperlink" Target="mailto:kugi@admgor.nnov.ru" TargetMode="External"/><Relationship Id="rId14" Type="http://schemas.openxmlformats.org/officeDocument/2006/relationships/hyperlink" Target="http://www.fabrikant.ru" TargetMode="External"/><Relationship Id="rId15" Type="http://schemas.openxmlformats.org/officeDocument/2006/relationships/hyperlink" Target="mailto:realty@etpz.ru" TargetMode="External"/><Relationship Id="rId16" Type="http://schemas.openxmlformats.org/officeDocument/2006/relationships/hyperlink" Target="https://www.fabrikant.ru/rules/common?category-id=1716" TargetMode="External"/><Relationship Id="rId17" Type="http://schemas.openxmlformats.org/officeDocument/2006/relationships/hyperlink" Target="http://www.fabrikant.ru" TargetMode="External"/><Relationship Id="rId18" Type="http://schemas.openxmlformats.org/officeDocument/2006/relationships/hyperlink" Target="http://www.fabrikant.ru" TargetMode="External"/><Relationship Id="rId19" Type="http://schemas.openxmlformats.org/officeDocument/2006/relationships/hyperlink" Target="http://www.torgi.gov.ru" TargetMode="External"/><Relationship Id="rId20" Type="http://schemas.openxmlformats.org/officeDocument/2006/relationships/hyperlink" Target="http://www.&#1085;&#1080;&#1078;&#1085;&#1080;&#1081;&#1085;&#1086;&#1074;&#1075;&#1086;&#1088;&#1086;&#1076;.&#1088;&#1092;" TargetMode="External"/><Relationship Id="rId21" Type="http://schemas.openxmlformats.org/officeDocument/2006/relationships/hyperlink" Target="http://www.fabrikant.ru" TargetMode="External"/><Relationship Id="rId22" Type="http://schemas.openxmlformats.org/officeDocument/2006/relationships/hyperlink" Target="http://www.torgi.gov.ru" TargetMode="External"/><Relationship Id="rId23" Type="http://schemas.openxmlformats.org/officeDocument/2006/relationships/hyperlink" Target="http://www.torgi.gov.ru" TargetMode="External"/><Relationship Id="rId24" Type="http://schemas.openxmlformats.org/officeDocument/2006/relationships/hyperlink" Target="https://www.fabrikant.ru/rules/common?category-id=1547" TargetMode="External"/><Relationship Id="rId25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27" Type="http://schemas.openxmlformats.org/officeDocument/2006/relationships/hyperlink" Target="https://www.fabrikant.ru/rules/common?category-id=170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F54D4-236C-4765-97A3-D48887A0A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l.sozonova@ADMGOR.NN</cp:lastModifiedBy>
  <cp:revision>68</cp:revision>
  <dcterms:created xsi:type="dcterms:W3CDTF">2025-03-27T14:30:00Z</dcterms:created>
  <dcterms:modified xsi:type="dcterms:W3CDTF">2026-04-16T13:47:17Z</dcterms:modified>
</cp:coreProperties>
</file>