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right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right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right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right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right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right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ИЗВЕЩЕНИЕ О ПРОВЕДЕНИИ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 продаже земельного участка, расположенного по адресу: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Российская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Федерация, Нижегородская область,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городской округ город Нижний Новгород,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сл. Верхне-Печерская, кадастровый номер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52:18:0060295:208, с видом разрешенного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использования: для индивидуального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жилищного строительства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ДЛЯ ГРАЖДАН - ФИЗИЧЕСКИХ ЛИЦ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начала приема заявок: 21.04.2026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окончания приема заявок: 05.05.2026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аукциона: 07.05.2026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left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Нижний Новгород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2026</w:t>
      </w:r>
      <w:r/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  Правовое регулирование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ТОЛЬКО ДЛЯ ГРАЖДАН</w:t>
      </w:r>
      <w:r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Гражданского кодекса Российской Федерации;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Федерального закона от 26.07.2006 № 135-ФЗ «О защите конкуренции»;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Постановления Правительства Российской Федерации от 10.05.2018 № 564 «О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постановления администрации города Нижнего Новгорода от 16.04.2026 № 3011 «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 проведении аукциона в электронной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форме по продаже земельного участка,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расположенного по адресу: Российская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Федерация, Нижегородская область,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городской округ город Нижний Новгород,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сл. Верхне-Печерская, кадастровый номер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52:18:0060295:208, с видом разрешенного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использования: для индивидуального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жилищного строительства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»;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иных нормативно правовых актов Российской Федерации и Нижегородской области.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  Сведения об аукционе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  Продавец</w:t>
      </w:r>
      <w:r>
        <w:rPr>
          <w:rFonts w:ascii="Times New Roman" w:hAnsi="Times New Roman" w:cs="Times New Roman"/>
          <w:sz w:val="24"/>
          <w:szCs w:val="24"/>
        </w:rPr>
        <w:t xml:space="preserve"> – Администрация города Нижнего Новгорода.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603082, город Нижний Новгород, Кремль, корп.5.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http://www.нижнийновгород.рф" w:history="1">
        <w:r>
          <w:rPr>
            <w:rStyle w:val="890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ooltip="mailto:ann@admgor.nnov.ru" w:history="1">
        <w:r>
          <w:rPr>
            <w:rFonts w:ascii="Times New Roman" w:hAnsi="Times New Roman" w:cs="Times New Roman"/>
            <w:sz w:val="24"/>
            <w:szCs w:val="24"/>
          </w:rPr>
          <w:t xml:space="preserve">ann@admgor.nnov.ru</w:t>
        </w:r>
      </w:hyperlink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(831) 467-10-03.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  Организатор аукциона</w:t>
      </w:r>
      <w:r>
        <w:rPr>
          <w:rFonts w:ascii="Times New Roman" w:hAnsi="Times New Roman" w:cs="Times New Roman"/>
          <w:sz w:val="24"/>
          <w:szCs w:val="24"/>
        </w:rPr>
        <w:t xml:space="preserve"> – Комитет по управлению городским имуществом и земельными ресурсами администрации города Нижнего Новгорода.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603005, г. Н.Новгород, улица Большая Покровская, дом 15.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tooltip="mailto:kugi@admgor.nnov.ru" w:history="1">
        <w:r>
          <w:rPr>
            <w:rStyle w:val="890"/>
            <w:rFonts w:ascii="Times New Roman" w:hAnsi="Times New Roman" w:cs="Times New Roman"/>
            <w:sz w:val="24"/>
            <w:szCs w:val="24"/>
            <w:lang w:val="en-US"/>
          </w:rPr>
          <w:t xml:space="preserve">kugi</w:t>
        </w:r>
        <w:r>
          <w:rPr>
            <w:rStyle w:val="890"/>
            <w:rFonts w:ascii="Times New Roman" w:hAnsi="Times New Roman" w:cs="Times New Roman"/>
            <w:sz w:val="24"/>
            <w:szCs w:val="24"/>
          </w:rPr>
          <w:t xml:space="preserve">@</w:t>
        </w:r>
        <w:r>
          <w:rPr>
            <w:rStyle w:val="890"/>
            <w:rFonts w:ascii="Times New Roman" w:hAnsi="Times New Roman" w:cs="Times New Roman"/>
            <w:sz w:val="24"/>
            <w:szCs w:val="24"/>
            <w:lang w:val="en-US"/>
          </w:rPr>
          <w:t xml:space="preserve">admgor</w:t>
        </w:r>
        <w:r>
          <w:rPr>
            <w:rStyle w:val="890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90"/>
            <w:rFonts w:ascii="Times New Roman" w:hAnsi="Times New Roman" w:cs="Times New Roman"/>
            <w:sz w:val="24"/>
            <w:szCs w:val="24"/>
            <w:lang w:val="en-US"/>
          </w:rPr>
          <w:t xml:space="preserve">nnov</w:t>
        </w:r>
        <w:r>
          <w:rPr>
            <w:rStyle w:val="890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90"/>
            <w:rFonts w:ascii="Times New Roman" w:hAnsi="Times New Roman" w:cs="Times New Roman"/>
            <w:sz w:val="24"/>
            <w:szCs w:val="24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7 (831) 435-69-33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2.3.  </w:t>
      </w:r>
      <w:r>
        <w:rPr>
          <w:rFonts w:ascii="Times New Roman" w:hAnsi="Times New Roman" w:cs="Times New Roman"/>
          <w:b/>
          <w:sz w:val="24"/>
          <w:szCs w:val="24"/>
        </w:rPr>
        <w:t xml:space="preserve">Оператор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</w:t>
      </w:r>
      <w:r>
        <w:rPr>
          <w:rFonts w:ascii="Times New Roman" w:hAnsi="Times New Roman" w:cs="Times New Roman"/>
          <w:sz w:val="24"/>
          <w:szCs w:val="24"/>
        </w:rPr>
        <w:t xml:space="preserve">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</w:t>
      </w:r>
      <w:r>
        <w:rPr>
          <w:rFonts w:ascii="Times New Roman" w:hAnsi="Times New Roman" w:cs="Times New Roman"/>
          <w:sz w:val="24"/>
          <w:szCs w:val="24"/>
        </w:rPr>
        <w:t xml:space="preserve">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r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Наименование:</w:t>
      </w:r>
      <w:r>
        <w:rPr>
          <w:rFonts w:ascii="Times New Roman" w:hAnsi="Times New Roman" w:cs="Times New Roman"/>
          <w:sz w:val="24"/>
          <w:szCs w:val="24"/>
        </w:rPr>
        <w:t xml:space="preserve"> АО «Электронные торговые системы».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123112, г</w:t>
      </w:r>
      <w:r>
        <w:rPr>
          <w:rFonts w:ascii="Times New Roman" w:hAnsi="Times New Roman" w:cs="Times New Roman"/>
          <w:sz w:val="24"/>
          <w:szCs w:val="24"/>
        </w:rPr>
        <w:t xml:space="preserve">.М</w:t>
      </w:r>
      <w:r>
        <w:rPr>
          <w:rFonts w:ascii="Times New Roman" w:hAnsi="Times New Roman" w:cs="Times New Roman"/>
          <w:sz w:val="24"/>
          <w:szCs w:val="24"/>
        </w:rPr>
        <w:t xml:space="preserve">осква, </w:t>
      </w:r>
      <w:r>
        <w:rPr>
          <w:rFonts w:ascii="Times New Roman" w:hAnsi="Times New Roman" w:cs="Times New Roman"/>
          <w:sz w:val="24"/>
          <w:szCs w:val="24"/>
        </w:rPr>
        <w:t xml:space="preserve">ул.Тестовская</w:t>
      </w:r>
      <w:r>
        <w:rPr>
          <w:rFonts w:ascii="Times New Roman" w:hAnsi="Times New Roman" w:cs="Times New Roman"/>
          <w:sz w:val="24"/>
          <w:szCs w:val="24"/>
        </w:rPr>
        <w:t xml:space="preserve">, д.10, этаж 18, помещ.1, комната 13.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tooltip="http://www.fabrikant.ru" w:history="1">
        <w:r>
          <w:rPr>
            <w:rStyle w:val="890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tooltip="mailto:realty@etpz.ru" w:history="1">
        <w:r>
          <w:rPr>
            <w:rStyle w:val="890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realty@etpz.ru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(495) 514-02-04.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2.4.  Предмет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земельный участок, государственная собственность на который не разграничена, расположенный по адресу: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Российская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Федерация, Нижегородская область,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городской округ город Нижний Новгород,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сл. Верхне-Печерская, кадастровый номер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52:18:0060295:208, с видом разрешенного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использования: для индивидуального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жилищного строительства</w:t>
      </w:r>
      <w:r>
        <w:rPr>
          <w:rStyle w:val="894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(далее – земельный участок).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2.5.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</w:t>
      </w:r>
      <w:r>
        <w:rPr>
          <w:rFonts w:ascii="Times New Roman" w:hAnsi="Times New Roman" w:cs="Times New Roman"/>
          <w:b/>
          <w:sz w:val="24"/>
          <w:szCs w:val="24"/>
        </w:rPr>
        <w:t xml:space="preserve"> Сведения о земельном участке: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b w:val="0"/>
          <w:bCs w:val="0"/>
        </w:rPr>
      </w:pPr>
      <w:r>
        <w:rPr>
          <w:rStyle w:val="902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Местоположение: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Российская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Федерация, Нижегородская область,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городской округ город Нижний Новгород,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сл. Верхне-Печерская</w:t>
      </w:r>
      <w:r>
        <w:rPr>
          <w:rStyle w:val="894"/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Площадь:</w:t>
      </w:r>
      <w:r>
        <w:rPr>
          <w:rFonts w:ascii="Times New Roman" w:hAnsi="Times New Roman" w:cs="Times New Roman"/>
          <w:sz w:val="24"/>
          <w:szCs w:val="24"/>
        </w:rPr>
        <w:t xml:space="preserve"> 778 +/-10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кв.м.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Кадастровый номер: </w:t>
      </w:r>
      <w:r>
        <w:rPr>
          <w:rStyle w:val="894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52:18:0060295:208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Категория земель:</w:t>
      </w:r>
      <w:r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Виды разрешенного использования:</w:t>
      </w:r>
      <w:r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 </w:t>
      </w:r>
      <w:r>
        <w:rPr>
          <w:rStyle w:val="894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Ограничения (обременения) права на земельный участок:</w:t>
      </w:r>
      <w:r>
        <w:rPr>
          <w:rFonts w:ascii="Times New Roman" w:hAnsi="Times New Roman" w:cs="Times New Roman"/>
          <w:sz w:val="24"/>
          <w:szCs w:val="24"/>
        </w:rPr>
        <w:t xml:space="preserve"> не зарегистрированы.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права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х на земельный участок: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государственная собственность не разграничена.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Градостроительный план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(Приложение № 1)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расположенного по адресу:</w:t>
      </w:r>
      <w:r>
        <w:rPr>
          <w:rStyle w:val="902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Style w:val="902"/>
          <w:rFonts w:ascii="Times New Roman" w:hAnsi="Times New Roman" w:cs="Times New Roman"/>
          <w:bCs/>
          <w:color w:val="000000"/>
          <w:sz w:val="24"/>
          <w:szCs w:val="24"/>
        </w:rPr>
        <w:t xml:space="preserve">Нижегородская обл., городской округ город Нижний Новгород, г Нижний Новгород, Нижегородский район, Нижегородский район, слобода Верхне-Печерская</w:t>
      </w:r>
      <w:r>
        <w:rPr>
          <w:rStyle w:val="894"/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№ РФ-52-2-01-0-00-2025-1116-0, дата выдачи 01.11.2025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Градостроительный план содержит сведения: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о виде или видах разрешенного использования земельного участка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(п.2.2 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радостроительного плана земельного участка)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708"/>
        <w:jc w:val="both"/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- о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принадлежности земельного участка к определенной территориальной зоне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(абз.1 п.2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радостроительного плана земельного участка)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максимально и (или) минимально допустимых параметрах разрешенного строительства объекта капитального строительства (п.2.3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радостроительного плана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наличии или отсутствии ограничений в использовании земельного участка (п.5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радостроительного плана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возможности подключения (технологического присоединения) объекта капитального строительства к сетям инженерно-технического обеспечения (п.9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радостроительного плана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2.6.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 </w:t>
      </w:r>
      <w:r>
        <w:rPr>
          <w:rFonts w:ascii="Times New Roman" w:hAnsi="Times New Roman" w:cs="Times New Roman"/>
          <w:b/>
          <w:sz w:val="24"/>
          <w:szCs w:val="24"/>
        </w:rPr>
        <w:t xml:space="preserve">Начальная цена предмета аукциона (стоимость земельного участка) – </w:t>
      </w:r>
      <w:r>
        <w:rPr>
          <w:rFonts w:ascii="Times New Roman" w:hAnsi="Times New Roman" w:cs="Times New Roman"/>
          <w:b/>
          <w:sz w:val="24"/>
          <w:szCs w:val="24"/>
        </w:rPr>
        <w:t xml:space="preserve">14 101 250 (четырнадцать миллионов сто одна тысяча двести пятьдесят) рублей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Стоимость земельного участка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определена на основании отчета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об оценке № 28 от 23.01.2026 об определении рыночной стоимости права собственности и рыночной стоимости годового размера арендной платы на земельный участок, категория земель: земли населенных пунктов,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разрешенное использование: Для индивидуального жилищного строительства, общая площадь: 778 кв.м., кадастровый номер: 52:18:0060295:208, местоположение: Российская Федерация, Нижегородская область, городской округ город Нижний Новгород, сл Верхне-Печерская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выполненного ООО «Консалтинг-Спектр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» в соответствии с законодательством Российской Федерации об оценочной деятельности.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t xml:space="preserve">Оплата приобретаемого в собственность земельного участка производится согласно </w:t>
      </w:r>
      <w:r>
        <w:rPr>
          <w:rFonts w:ascii="Times New Roman" w:hAnsi="Times New Roman" w:cs="Times New Roman"/>
          <w:sz w:val="24"/>
          <w:szCs w:val="24"/>
        </w:rPr>
        <w:t xml:space="preserve">разделу 2 договора купли-продажи земельного участка (Приложение № 3)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  <w:tabs>
          <w:tab w:val="left" w:pos="745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2.7. </w:t>
      </w:r>
      <w:r>
        <w:rPr>
          <w:rFonts w:ascii="Times New Roman" w:hAnsi="Times New Roman" w:cs="Times New Roman"/>
          <w:b/>
          <w:sz w:val="24"/>
          <w:szCs w:val="24"/>
        </w:rPr>
        <w:t xml:space="preserve"> Шаг аукциона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705 062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рублей.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2.8. Обеспечение участия в аукционе: заявитель вносит задаток в размере 7 050 625 (семь миллионов пятьдесят тысяч шестьсот двадцать пять) рублей.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2.9.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Размер платы Оператору электронной площадки за участие в аукционе, взимаемой с лица, признанного победителем аукциона (далее – Победитель), а также иных лиц, с которым договор аренды земельного участка закл</w:t>
      </w:r>
      <w:r>
        <w:rPr>
          <w:rFonts w:ascii="Times New Roman" w:hAnsi="Times New Roman" w:cs="Times New Roman"/>
          <w:sz w:val="24"/>
          <w:szCs w:val="24"/>
        </w:rPr>
        <w:t xml:space="preserve">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Регламент и Инструкции), и размещен по адресу в информационно-телекоммуникационной сети «Интернет»: </w:t>
      </w:r>
      <w:hyperlink r:id="rId16" w:tooltip="https://www.fabrikant.ru/rules/common?category-id=1716" w:history="1">
        <w:r>
          <w:rPr>
            <w:rStyle w:val="890"/>
            <w:rFonts w:ascii="Times New Roman" w:hAnsi="Times New Roman" w:cs="Times New Roman"/>
            <w:sz w:val="24"/>
            <w:szCs w:val="24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- вознаграждения за оказанные услуги).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2.10.  Место приема заявок на участие в аукционе (далее - Заявка):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дка </w:t>
      </w:r>
      <w:hyperlink r:id="rId17" w:tooltip="http://www.fabrikant.ru" w:history="1">
        <w:r>
          <w:rPr>
            <w:rStyle w:val="890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2.11.  Дата и время начала приема заявок: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21.04.2026 в 15 час. 00 мин.* Прием Заявок осущ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ествляется круглосуточно.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* Здесь и далее указано московское время. 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2.12.  Дата и время окончания срока приема заявок и начала их рассмотрения: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05.05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.2026 в 12 час. 00 мин.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2.13.  Дата окончания рассмотрения Заявок: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06.05.2026.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2.14.  Место проведения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электронная площадка </w:t>
      </w:r>
      <w:hyperlink r:id="rId18" w:tooltip="http://www.fabrikant.ru" w:history="1">
        <w:r>
          <w:rPr>
            <w:rStyle w:val="890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2.15.  Дата и время начала проведения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07.05.2026 в 10 час. 00 мин.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  Информационное обеспечение аукциона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3.1.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11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12.2025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рганизатором торгов было размещено извещение о предоставлении земельного участка в соответствии с подпунктом 1 пункта 1 статьи 39.18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3.2.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Извещение о проведении аукциона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</w:rPr>
        <w:t xml:space="preserve">размещается</w:t>
      </w:r>
      <w:r>
        <w:rPr>
          <w:rFonts w:ascii="Times New Roman" w:hAnsi="Times New Roman" w:cs="Times New Roman"/>
          <w:sz w:val="24"/>
          <w:szCs w:val="24"/>
        </w:rPr>
        <w:t xml:space="preserve"> на официальном сайте Российской Федерации в информационно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телекоммуникационной сети «Интернет» для размещения информации о проведении торгов по адресу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tooltip="http://www.torgi.gov.ru" w:history="1">
        <w:r>
          <w:rPr>
            <w:rStyle w:val="890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(далее – 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фициальный сайт торгов), </w:t>
      </w:r>
      <w:r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города Нижнего Новгорода: </w:t>
      </w:r>
      <w:hyperlink r:id="rId20" w:tooltip="http://www.нижнийновгород.рф" w:history="1">
        <w:r>
          <w:rPr>
            <w:rStyle w:val="890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на электронной площадке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tooltip="http://www.fabrikant.ru" w:history="1">
        <w:r>
          <w:rPr>
            <w:rStyle w:val="890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– электронная площадка) в соответствии с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Все приложения к Извещению являются его неотъемлемой частью.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3.3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Осмотр земельного участка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самостоятельно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4.  </w:t>
      </w:r>
      <w:r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</w:t>
      </w:r>
      <w:r>
        <w:rPr>
          <w:rFonts w:ascii="Times New Roman" w:hAnsi="Times New Roman" w:cs="Times New Roman"/>
          <w:sz w:val="24"/>
          <w:szCs w:val="24"/>
        </w:rPr>
        <w:t xml:space="preserve">ями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>
        <w:rPr>
          <w:rFonts w:ascii="Times New Roman" w:hAnsi="Times New Roman" w:cs="Times New Roman"/>
          <w:sz w:val="24"/>
          <w:szCs w:val="24"/>
        </w:rPr>
        <w:t xml:space="preserve">, Заявители</w:t>
      </w:r>
      <w:r>
        <w:rPr>
          <w:rFonts w:ascii="Times New Roman" w:hAnsi="Times New Roman" w:cs="Times New Roman"/>
          <w:sz w:val="24"/>
          <w:szCs w:val="24"/>
        </w:rPr>
        <w:t xml:space="preserve">) могут</w:t>
      </w:r>
      <w:r>
        <w:rPr>
          <w:rFonts w:ascii="Times New Roman" w:hAnsi="Times New Roman" w:cs="Times New Roman"/>
          <w:sz w:val="24"/>
          <w:szCs w:val="24"/>
        </w:rPr>
        <w:t xml:space="preserve"> быть </w:t>
      </w:r>
      <w:r>
        <w:rPr>
          <w:rFonts w:ascii="Times New Roman" w:hAnsi="Times New Roman" w:cs="Times New Roman"/>
          <w:sz w:val="24"/>
          <w:szCs w:val="24"/>
        </w:rPr>
        <w:t xml:space="preserve">ТОЛЬКО ГРАЖДАНЕ</w:t>
      </w:r>
      <w:r>
        <w:rPr>
          <w:rFonts w:ascii="Times New Roman" w:hAnsi="Times New Roman" w:cs="Times New Roman"/>
          <w:sz w:val="24"/>
          <w:szCs w:val="24"/>
        </w:rPr>
        <w:t xml:space="preserve">, имеющи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(далее - ЭП), и ПРОШЕДШИ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РЕГИСТРАЦИЮ (АККРЕДИТАЦИЮ) В КАЧЕСТВЕ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ФИЗИЧЕСКОГО ЛИЦА (НЕ ИНДИВИДУАЛЬНОГО ПРЕДПРИНИМАТЕЛЯ) на электронной площадке в соответствии с Регламентом и Инструкциями.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На Официальном сайте торгов (</w:t>
      </w:r>
      <w:hyperlink r:id="rId22" w:tooltip="http://www.torgi.gov.ru" w:history="1">
        <w:r>
          <w:rPr>
            <w:rStyle w:val="890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прохождения процедуры регистрации на Официальном сайте торгов (</w:t>
      </w:r>
      <w:hyperlink r:id="rId23" w:tooltip="http://www.torgi.gov.ru" w:history="1">
        <w:r>
          <w:rPr>
            <w:rStyle w:val="890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r>
        <w:rPr>
          <w:rFonts w:ascii="Times New Roman" w:hAnsi="Times New Roman" w:cs="Times New Roman"/>
          <w:sz w:val="24"/>
          <w:szCs w:val="24"/>
        </w:rPr>
        <w:t xml:space="preserve">оформленную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5.4.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4" w:tooltip="https://www.fabrikant.ru/rules/common?category-id=154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5" w:tooltip="http://www.fabrikant.ru" w:history="1">
        <w:r>
          <w:rPr>
            <w:rStyle w:val="890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от имени За</w:t>
      </w:r>
      <w:r>
        <w:rPr>
          <w:rFonts w:ascii="Times New Roman" w:hAnsi="Times New Roman" w:cs="Times New Roman"/>
          <w:sz w:val="24"/>
          <w:szCs w:val="24"/>
        </w:rPr>
        <w:t xml:space="preserve">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внесения, блокирования и прекращения блокирования денежных сре</w:t>
      </w:r>
      <w:r>
        <w:rPr>
          <w:rFonts w:ascii="Times New Roman" w:hAnsi="Times New Roman" w:cs="Times New Roman"/>
          <w:b/>
          <w:sz w:val="28"/>
          <w:szCs w:val="28"/>
        </w:rPr>
        <w:t xml:space="preserve">дств в к</w:t>
      </w:r>
      <w:r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целях исполнения требований о внесении задатка для участия в аукционе Заявитель</w:t>
      </w:r>
      <w:r>
        <w:rPr>
          <w:rFonts w:ascii="Times New Roman" w:hAnsi="Times New Roman" w:cs="Times New Roman"/>
          <w:sz w:val="24"/>
          <w:szCs w:val="24"/>
        </w:rPr>
        <w:t xml:space="preserve"> с учетом</w:t>
      </w:r>
      <w:r>
        <w:rPr>
          <w:rFonts w:ascii="Times New Roman" w:hAnsi="Times New Roman" w:cs="Times New Roman"/>
          <w:sz w:val="24"/>
          <w:szCs w:val="24"/>
        </w:rPr>
        <w:t xml:space="preserve"> требований Разделов 4,</w:t>
      </w:r>
      <w:r>
        <w:rPr>
          <w:rFonts w:ascii="Times New Roman" w:hAnsi="Times New Roman" w:cs="Times New Roman"/>
          <w:sz w:val="24"/>
          <w:szCs w:val="24"/>
        </w:rPr>
        <w:t xml:space="preserve">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</w:t>
      </w:r>
      <w:r>
        <w:rPr>
          <w:rFonts w:ascii="Times New Roman" w:hAnsi="Times New Roman" w:cs="Times New Roman"/>
          <w:sz w:val="24"/>
          <w:szCs w:val="24"/>
        </w:rPr>
        <w:t xml:space="preserve">ии с Регламентом и Инструкциями</w:t>
      </w:r>
      <w:r>
        <w:rPr>
          <w:rFonts w:ascii="Times New Roman" w:hAnsi="Times New Roman" w:cs="Times New Roman"/>
          <w:sz w:val="24"/>
          <w:szCs w:val="24"/>
        </w:rPr>
        <w:t xml:space="preserve">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</w:t>
      </w:r>
      <w:r>
        <w:rPr>
          <w:rFonts w:ascii="Times New Roman" w:hAnsi="Times New Roman" w:cs="Times New Roman"/>
          <w:sz w:val="24"/>
          <w:szCs w:val="24"/>
        </w:rPr>
        <w:t xml:space="preserve">044525593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>
        <w:rPr>
          <w:rFonts w:ascii="Times New Roman" w:hAnsi="Times New Roman" w:cs="Times New Roman"/>
          <w:sz w:val="24"/>
          <w:szCs w:val="24"/>
        </w:rPr>
        <w:t xml:space="preserve">40702810301400020601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Корр. счёт </w:t>
      </w:r>
      <w:r>
        <w:rPr>
          <w:rFonts w:ascii="Times New Roman" w:hAnsi="Times New Roman" w:cs="Times New Roman"/>
          <w:sz w:val="24"/>
          <w:szCs w:val="24"/>
        </w:rPr>
        <w:t xml:space="preserve">30101810200000000593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АО «АЛЬФА-БАНК»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</w:t>
      </w:r>
      <w:r>
        <w:rPr>
          <w:rFonts w:ascii="Times New Roman" w:hAnsi="Times New Roman" w:cs="Times New Roman"/>
          <w:sz w:val="24"/>
          <w:szCs w:val="24"/>
        </w:rPr>
        <w:t xml:space="preserve"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КПП </w:t>
      </w:r>
      <w:r>
        <w:rPr>
          <w:rFonts w:ascii="Times New Roman" w:hAnsi="Times New Roman" w:cs="Times New Roman"/>
          <w:sz w:val="24"/>
          <w:szCs w:val="24"/>
        </w:rPr>
        <w:t xml:space="preserve">770301001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 xml:space="preserve">Пополнение лицевого счета №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>
        <w:rPr>
          <w:rFonts w:ascii="Times New Roman" w:hAnsi="Times New Roman" w:cs="Times New Roman"/>
          <w:sz w:val="24"/>
          <w:szCs w:val="24"/>
        </w:rPr>
        <w:t xml:space="preserve">ние в разделе личного кабинета «</w:t>
      </w:r>
      <w:r>
        <w:rPr>
          <w:rFonts w:ascii="Times New Roman" w:hAnsi="Times New Roman" w:cs="Times New Roman"/>
          <w:sz w:val="24"/>
          <w:szCs w:val="24"/>
        </w:rPr>
        <w:t xml:space="preserve">Электронный кошелек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, при этом назначение платежа будет заполнено автоматически.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по «</w:t>
      </w:r>
      <w:r>
        <w:rPr>
          <w:rFonts w:ascii="Times New Roman" w:hAnsi="Times New Roman" w:cs="Times New Roman"/>
          <w:sz w:val="24"/>
          <w:szCs w:val="24"/>
        </w:rPr>
        <w:t xml:space="preserve">Электронн</w:t>
      </w:r>
      <w:r>
        <w:rPr>
          <w:rFonts w:ascii="Times New Roman" w:hAnsi="Times New Roman" w:cs="Times New Roman"/>
          <w:sz w:val="24"/>
          <w:szCs w:val="24"/>
        </w:rPr>
        <w:t xml:space="preserve">ому</w:t>
      </w:r>
      <w:r>
        <w:rPr>
          <w:rFonts w:ascii="Times New Roman" w:hAnsi="Times New Roman" w:cs="Times New Roman"/>
          <w:sz w:val="24"/>
          <w:szCs w:val="24"/>
        </w:rPr>
        <w:t xml:space="preserve"> кошел</w:t>
      </w:r>
      <w:r>
        <w:rPr>
          <w:rFonts w:ascii="Times New Roman" w:hAnsi="Times New Roman" w:cs="Times New Roman"/>
          <w:sz w:val="24"/>
          <w:szCs w:val="24"/>
        </w:rPr>
        <w:t xml:space="preserve">ь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6" w:tooltip="https://www.fabrikant.ru/rules/common?category-id=1705" w:history="1">
        <w:r>
          <w:rPr>
            <w:rStyle w:val="890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</w:t>
      </w:r>
      <w:r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и их нельзя</w:t>
      </w:r>
      <w:r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>
        <w:rPr>
          <w:rFonts w:ascii="Times New Roman" w:hAnsi="Times New Roman" w:cs="Times New Roman"/>
          <w:sz w:val="24"/>
          <w:szCs w:val="24"/>
        </w:rPr>
        <w:t xml:space="preserve">Оператора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6.4.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обеспечить на своем лицевом счете в личном кабинете наличие суммы свободных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в р</w:t>
      </w:r>
      <w:r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при подаче заявки на участие в торгах воспользоваться функционалом электронной площадки по блокированию суммы задатка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пункт 2.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6.5.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</w:t>
      </w:r>
      <w:r>
        <w:rPr>
          <w:rFonts w:ascii="Times New Roman" w:hAnsi="Times New Roman" w:cs="Times New Roman"/>
          <w:sz w:val="24"/>
          <w:szCs w:val="24"/>
        </w:rPr>
        <w:t xml:space="preserve">времени окончания срока подачи заявок</w:t>
      </w:r>
      <w:r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6.6.</w:t>
      </w:r>
      <w:r>
        <w:rPr>
          <w:rFonts w:ascii="Times New Roman" w:hAnsi="Times New Roman" w:cs="Times New Roman"/>
          <w:sz w:val="24"/>
          <w:szCs w:val="24"/>
        </w:rPr>
        <w:t xml:space="preserve">  Заявитель</w:t>
      </w:r>
      <w:r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undefined"/>
      <w:r>
        <w:rPr>
          <w:rFonts w:ascii="Times New Roman" w:hAnsi="Times New Roman" w:cs="Times New Roman"/>
          <w:sz w:val="24"/>
          <w:szCs w:val="24"/>
        </w:rPr>
        <w:t xml:space="preserve">разблокируются</w:t>
      </w:r>
      <w:r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недопуск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торговой площадке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отмен</w:t>
      </w:r>
      <w:r>
        <w:rPr>
          <w:rFonts w:ascii="Times New Roman" w:hAnsi="Times New Roman" w:cs="Times New Roman"/>
          <w:sz w:val="24"/>
          <w:szCs w:val="24"/>
        </w:rPr>
        <w:t xml:space="preserve">ы</w:t>
      </w:r>
      <w:r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 xml:space="preserve">аукциона</w:t>
      </w:r>
      <w:r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торговой площадке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осуществ</w:t>
      </w:r>
      <w:r>
        <w:rPr>
          <w:rFonts w:ascii="Times New Roman" w:hAnsi="Times New Roman" w:cs="Times New Roman"/>
          <w:sz w:val="24"/>
          <w:szCs w:val="24"/>
        </w:rPr>
        <w:t xml:space="preserve">ляет</w:t>
      </w:r>
      <w:r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заполняет в электронной форме Заявление на вывод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 xml:space="preserve">енежных средств осуществляется О</w:t>
      </w:r>
      <w:r>
        <w:rPr>
          <w:rFonts w:ascii="Times New Roman" w:hAnsi="Times New Roman" w:cs="Times New Roman"/>
          <w:sz w:val="24"/>
          <w:szCs w:val="24"/>
        </w:rPr>
        <w:t xml:space="preserve"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r>
        <w:rPr>
          <w:rFonts w:ascii="Times New Roman" w:hAnsi="Times New Roman" w:cs="Times New Roman"/>
          <w:sz w:val="24"/>
          <w:szCs w:val="24"/>
        </w:rPr>
        <w:t xml:space="preserve">с даты получения</w:t>
      </w:r>
      <w:r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 xml:space="preserve">ны</w:t>
      </w:r>
      <w:r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возврате (выводе)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Задаток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 xml:space="preserve">ого</w:t>
      </w:r>
      <w:r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, с которым договор купли-продажи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купли-продажи земельного участка вследствие уклонения от заключения указанного договора,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не возвращаются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6.9.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Разблокирование денежных </w:t>
      </w:r>
      <w:r>
        <w:rPr>
          <w:rFonts w:ascii="Times New Roman" w:hAnsi="Times New Roman" w:cs="Times New Roman"/>
          <w:sz w:val="24"/>
          <w:szCs w:val="24"/>
        </w:rPr>
        <w:t xml:space="preserve">средств на лицевом счете лиц, участвующих в аукционе, но не победивших в нем, осуществляется после размещения на электронной торговой площадке П</w:t>
      </w:r>
      <w:r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</w:t>
      </w:r>
      <w:r>
        <w:rPr>
          <w:rFonts w:ascii="Times New Roman" w:hAnsi="Times New Roman" w:cs="Times New Roman"/>
          <w:sz w:val="24"/>
          <w:szCs w:val="24"/>
        </w:rPr>
        <w:t xml:space="preserve">, з</w:t>
      </w:r>
      <w:r>
        <w:rPr>
          <w:rFonts w:ascii="Times New Roman" w:hAnsi="Times New Roman" w:cs="Times New Roman"/>
          <w:sz w:val="24"/>
          <w:szCs w:val="24"/>
        </w:rPr>
        <w:t xml:space="preserve">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земельного участка победителем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(вывод) денежных средств осуществляется в порядке, указанном в п.</w:t>
      </w:r>
      <w:r>
        <w:rPr>
          <w:rFonts w:ascii="Times New Roman" w:hAnsi="Times New Roman" w:cs="Times New Roman"/>
          <w:sz w:val="24"/>
          <w:szCs w:val="24"/>
        </w:rPr>
        <w:t xml:space="preserve">п.</w:t>
      </w:r>
      <w:r>
        <w:rPr>
          <w:rFonts w:ascii="Times New Roman" w:hAnsi="Times New Roman" w:cs="Times New Roman"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расчетов и условия взимания вознаграждения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7.1</w:t>
      </w:r>
      <w:r>
        <w:rPr>
          <w:rFonts w:ascii="Times New Roman" w:hAnsi="Times New Roman" w:cs="Times New Roman"/>
          <w:sz w:val="24"/>
          <w:szCs w:val="24"/>
        </w:rPr>
        <w:t xml:space="preserve">. В соответствии с Регламентом и Инструкциями установлено требование о взимании вознаграждения за оказанные услуги.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7.2. </w:t>
      </w:r>
      <w:r>
        <w:rPr>
          <w:rFonts w:ascii="Times New Roman" w:hAnsi="Times New Roman" w:cs="Times New Roman"/>
          <w:sz w:val="24"/>
          <w:szCs w:val="24"/>
        </w:rPr>
        <w:t xml:space="preserve">Участник, признанный в протоколе об итогах торгов Победителем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установленном в соответствии Регламентом, размещенном по адресу в информационно-телекоммуникационной сети «Интернет»: https://www.fabrikant.ru/rules/common?category-id=1716.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7.3</w:t>
      </w:r>
      <w:r>
        <w:rPr>
          <w:rFonts w:ascii="Times New Roman" w:hAnsi="Times New Roman" w:cs="Times New Roman"/>
          <w:sz w:val="24"/>
          <w:szCs w:val="24"/>
        </w:rPr>
        <w:t xml:space="preserve">. Размер платы определяется тарифами электронной площадки, утвержденными оператором и размещенными в открытой части электронной площадки по адресу: https://www.fabrikant.ru/personal/tariff/landing.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t xml:space="preserve">Рекомендуемое назначение платежа: Обеспечительный платеж для участия в торговой процедуре № (указать номер процедуры на электронной площадке и лот).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7.4.</w:t>
      </w:r>
      <w:r>
        <w:rPr>
          <w:rFonts w:ascii="Times New Roman" w:hAnsi="Times New Roman" w:cs="Times New Roman"/>
          <w:sz w:val="24"/>
          <w:szCs w:val="24"/>
        </w:rPr>
        <w:t xml:space="preserve"> Сумма обеспечительного платежа должна быть перечислена единым платежом.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Заявителя, в назначении платежа необходимо дополнительно указать ИНН и наименование такого Заяви</w:t>
      </w:r>
      <w:r>
        <w:rPr>
          <w:rFonts w:ascii="Times New Roman" w:hAnsi="Times New Roman" w:cs="Times New Roman"/>
          <w:sz w:val="24"/>
          <w:szCs w:val="24"/>
        </w:rPr>
        <w:t xml:space="preserve">теля, за которого внесен обеспечительный платеж.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7.5.</w:t>
      </w:r>
      <w:r>
        <w:rPr>
          <w:rFonts w:ascii="Times New Roman" w:hAnsi="Times New Roman" w:cs="Times New Roman"/>
          <w:sz w:val="24"/>
          <w:szCs w:val="24"/>
        </w:rPr>
        <w:t xml:space="preserve"> Обеспечительный платеж Участника засчитывается в счёт исполнения таким Участником обязательства по оплате вознаграждения Оператору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7.6.</w:t>
      </w:r>
      <w:r>
        <w:rPr>
          <w:rFonts w:ascii="Times New Roman" w:hAnsi="Times New Roman" w:cs="Times New Roman"/>
          <w:sz w:val="24"/>
          <w:szCs w:val="24"/>
        </w:rPr>
        <w:t xml:space="preserve"> После завершения процедуры, а также в случае отмены аукциона, отзыва Заявителем своей заявки на участие в аукционе, Заявитель вправе обратиться за возвратом ему денежных средств, внесенных им в качестве обеспечительного платежа и не подлежащих зачету </w:t>
      </w:r>
      <w:r>
        <w:rPr>
          <w:rFonts w:ascii="Times New Roman" w:hAnsi="Times New Roman" w:cs="Times New Roman"/>
          <w:sz w:val="24"/>
          <w:szCs w:val="24"/>
        </w:rPr>
        <w:t xml:space="preserve">в счет исполнения его обязательства по оплате вознаграждения Оператору электронной площадки.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озврат таких денежных средств осуществляется после направления Заявителем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(https://www.fabrik</w:t>
      </w:r>
      <w:r>
        <w:rPr>
          <w:rFonts w:ascii="Times New Roman" w:hAnsi="Times New Roman" w:cs="Times New Roman"/>
          <w:sz w:val="24"/>
          <w:szCs w:val="24"/>
        </w:rPr>
        <w:t xml:space="preserve">ant.ru/), либо путем направления официального письма в адрес Оператора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электронной площадки в течение 5 рабочих дней (со дня, следующего за днем получения такого обращения Оператором) при условии, что Заявитель указал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Порядок, форма и срок приема и отзыва Заявок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Прием З</w:t>
      </w:r>
      <w:r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</w:t>
      </w:r>
      <w:r>
        <w:rPr>
          <w:rFonts w:ascii="Times New Roman" w:hAnsi="Times New Roman" w:cs="Times New Roman"/>
          <w:sz w:val="24"/>
          <w:szCs w:val="24"/>
        </w:rPr>
        <w:t xml:space="preserve">(Приложение №2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направляется Заявителем Оператору электронной площадки в сроки, указанные в пунктах 2.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, 2.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</w:t>
      </w:r>
      <w:r>
        <w:rPr>
          <w:rFonts w:ascii="Times New Roman" w:hAnsi="Times New Roman" w:cs="Times New Roman"/>
          <w:sz w:val="24"/>
          <w:szCs w:val="24"/>
        </w:rPr>
        <w:t xml:space="preserve">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копии документов, удостоверяющих личность заявителя (</w:t>
      </w:r>
      <w:r>
        <w:rPr>
          <w:rFonts w:ascii="Times New Roman" w:hAnsi="Times New Roman" w:cs="Times New Roman"/>
          <w:sz w:val="24"/>
          <w:szCs w:val="24"/>
        </w:rPr>
        <w:t xml:space="preserve">копии разворотов паспорта с фотографией и пропиской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документы, подтверждающие внесение задатка.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 Заявитель вправе подать только одну Заявку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аявителя.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</w:t>
      </w:r>
      <w:r>
        <w:rPr>
          <w:rFonts w:ascii="Times New Roman" w:hAnsi="Times New Roman" w:cs="Times New Roman"/>
          <w:sz w:val="24"/>
          <w:szCs w:val="24"/>
        </w:rPr>
        <w:t xml:space="preserve">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получения Заявки после установленных в пункте 2.</w:t>
      </w:r>
      <w:r>
        <w:rPr>
          <w:rFonts w:ascii="Times New Roman" w:hAnsi="Times New Roman" w:cs="Times New Roman"/>
          <w:sz w:val="24"/>
          <w:szCs w:val="24"/>
        </w:rPr>
        <w:t xml:space="preserve">12</w:t>
      </w:r>
      <w:r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>
        <w:rPr>
          <w:rFonts w:ascii="Times New Roman" w:hAnsi="Times New Roman" w:cs="Times New Roman"/>
          <w:sz w:val="24"/>
          <w:szCs w:val="24"/>
        </w:rPr>
        <w:t xml:space="preserve">и окончания срока приема Заявок;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r>
        <w:rPr>
          <w:rFonts w:ascii="Times New Roman" w:hAnsi="Times New Roman" w:cs="Times New Roman"/>
          <w:sz w:val="24"/>
          <w:szCs w:val="24"/>
        </w:rPr>
        <w:t xml:space="preserve">незаполнения</w:t>
      </w:r>
      <w:r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 других случаях, предусмотренных Регламентом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>
        <w:rPr>
          <w:rFonts w:ascii="Times New Roman" w:hAnsi="Times New Roman" w:cs="Times New Roman"/>
          <w:sz w:val="24"/>
          <w:szCs w:val="24"/>
        </w:rPr>
        <w:t xml:space="preserve">уведомление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вправе отозвать Заявку в любое время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Прием Заявок прекращается Оператором электронной площадки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в д</w:t>
      </w:r>
      <w:r>
        <w:rPr>
          <w:rFonts w:ascii="Times New Roman" w:hAnsi="Times New Roman" w:cs="Times New Roman"/>
          <w:sz w:val="24"/>
          <w:szCs w:val="24"/>
        </w:rPr>
        <w:t xml:space="preserve">ату и время окончания срока приема Заявок, указанные в пункте 2.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10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После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12</w:t>
      </w:r>
      <w:r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>
        <w:rPr>
          <w:rFonts w:ascii="Times New Roman" w:hAnsi="Times New Roman" w:cs="Times New Roman"/>
          <w:sz w:val="24"/>
          <w:szCs w:val="24"/>
        </w:rPr>
        <w:t xml:space="preserve"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аукциона в течение 3 (трех) дней со дня принятия решения об отказе в проведен</w:t>
      </w:r>
      <w:r>
        <w:rPr>
          <w:rFonts w:ascii="Times New Roman" w:hAnsi="Times New Roman" w:cs="Times New Roman"/>
          <w:sz w:val="24"/>
          <w:szCs w:val="24"/>
        </w:rPr>
        <w:t xml:space="preserve">ии ау</w:t>
      </w:r>
      <w:r>
        <w:rPr>
          <w:rFonts w:ascii="Times New Roman" w:hAnsi="Times New Roman" w:cs="Times New Roman"/>
          <w:sz w:val="24"/>
          <w:szCs w:val="24"/>
        </w:rPr>
        <w:t xml:space="preserve">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3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непредставление необходимых для участия в аукционе документов или представление недостоверных сведений;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93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непоступление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от заявителя задатка на дату рассмотрения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аявок на участие в аукционе;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93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подача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93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наличие сведений о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аявителе в реестре недобросовестных участников аукциона.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Заявителям, признанным Участниками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Заявителям, </w:t>
      </w:r>
      <w:r>
        <w:rPr>
          <w:rFonts w:ascii="Times New Roman" w:hAnsi="Times New Roman" w:cs="Times New Roman"/>
          <w:sz w:val="24"/>
          <w:szCs w:val="24"/>
        </w:rPr>
        <w:t xml:space="preserve">не допущенным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</w:t>
      </w:r>
      <w:r>
        <w:rPr>
          <w:rFonts w:ascii="Times New Roman" w:hAnsi="Times New Roman" w:cs="Times New Roman"/>
          <w:sz w:val="24"/>
          <w:szCs w:val="24"/>
        </w:rPr>
        <w:t xml:space="preserve">направляет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>
        <w:rPr>
          <w:rFonts w:ascii="Times New Roman" w:hAnsi="Times New Roman" w:cs="Times New Roman"/>
          <w:sz w:val="24"/>
          <w:szCs w:val="24"/>
        </w:rPr>
        <w:t xml:space="preserve">Заявителей </w:t>
      </w:r>
      <w:r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>
        <w:rPr>
          <w:rFonts w:ascii="Times New Roman" w:hAnsi="Times New Roman" w:cs="Times New Roman"/>
          <w:sz w:val="24"/>
          <w:szCs w:val="24"/>
        </w:rPr>
        <w:t xml:space="preserve">не позднее следующего рабочего дня после дня подписания протокола</w:t>
      </w:r>
      <w:r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r>
        <w:rPr>
          <w:rFonts w:ascii="Times New Roman" w:hAnsi="Times New Roman" w:cs="Times New Roman"/>
          <w:sz w:val="24"/>
          <w:szCs w:val="24"/>
        </w:rPr>
        <w:t xml:space="preserve">указанных</w:t>
      </w:r>
      <w:r>
        <w:rPr>
          <w:rFonts w:ascii="Times New Roman" w:hAnsi="Times New Roman" w:cs="Times New Roman"/>
          <w:sz w:val="24"/>
          <w:szCs w:val="24"/>
        </w:rPr>
        <w:t xml:space="preserve"> в пункте 2.1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0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проведения аукциона</w:t>
      </w:r>
      <w:r>
        <w:t xml:space="preserve"> 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корректности участия в процедуре торгов, необходимо осуществить вход на электронную площадку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электронной подписи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Процедура аукциона проводится в день и время, указанные в пункте 2.1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.4.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цены Предмета аукциона </w:t>
      </w:r>
      <w:r>
        <w:rPr>
          <w:rFonts w:ascii="Times New Roman" w:hAnsi="Times New Roman" w:cs="Times New Roman"/>
          <w:sz w:val="24"/>
          <w:szCs w:val="24"/>
        </w:rPr>
        <w:t xml:space="preserve">на «шаг аукциона», установленный</w:t>
      </w:r>
      <w:r>
        <w:rPr>
          <w:rFonts w:ascii="Times New Roman" w:hAnsi="Times New Roman" w:cs="Times New Roman"/>
          <w:sz w:val="24"/>
          <w:szCs w:val="24"/>
        </w:rPr>
        <w:t xml:space="preserve"> пунктом 2.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>
        <w:rPr>
          <w:rFonts w:ascii="Times New Roman" w:hAnsi="Times New Roman" w:cs="Times New Roman"/>
          <w:sz w:val="24"/>
          <w:szCs w:val="24"/>
        </w:rPr>
        <w:t xml:space="preserve">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</w:t>
      </w:r>
      <w:r>
        <w:rPr>
          <w:rFonts w:ascii="Times New Roman" w:hAnsi="Times New Roman" w:cs="Times New Roman"/>
          <w:sz w:val="24"/>
          <w:szCs w:val="24"/>
        </w:rPr>
        <w:t xml:space="preserve">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.6.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</w:t>
      </w:r>
      <w:r>
        <w:rPr>
          <w:rFonts w:ascii="Times New Roman" w:hAnsi="Times New Roman" w:cs="Times New Roman"/>
          <w:sz w:val="24"/>
          <w:szCs w:val="24"/>
        </w:rPr>
        <w:t xml:space="preserve">ета аукциона продлевается на 10 </w:t>
      </w:r>
      <w:r>
        <w:rPr>
          <w:rFonts w:ascii="Times New Roman" w:hAnsi="Times New Roman" w:cs="Times New Roman"/>
          <w:sz w:val="24"/>
          <w:szCs w:val="24"/>
        </w:rPr>
        <w:t xml:space="preserve">(десять) минут.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.7.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.8.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.9.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Ор</w:t>
      </w:r>
      <w:r>
        <w:rPr>
          <w:rFonts w:ascii="Times New Roman" w:hAnsi="Times New Roman" w:cs="Times New Roman"/>
          <w:sz w:val="24"/>
          <w:szCs w:val="24"/>
        </w:rPr>
        <w:t xml:space="preserve">ганизатору аукциона в течение 1 </w:t>
      </w:r>
      <w:r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>
        <w:rPr>
          <w:rFonts w:ascii="Times New Roman" w:hAnsi="Times New Roman" w:cs="Times New Roman"/>
          <w:sz w:val="24"/>
          <w:szCs w:val="24"/>
        </w:rPr>
        <w:t xml:space="preserve">подготовки Организатором аукциона протокола о результатах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.10.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</w:t>
      </w:r>
      <w:r>
        <w:rPr>
          <w:rFonts w:ascii="Times New Roman" w:hAnsi="Times New Roman" w:cs="Times New Roman"/>
          <w:sz w:val="24"/>
          <w:szCs w:val="24"/>
        </w:rPr>
        <w:t xml:space="preserve">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не подано ни одной Заявки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была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об отказе в допуске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Условия и сроки заключения договора купли-продажи земельного участка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Заключение договора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(Приложение № 3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.2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>
        <w:rPr>
          <w:rFonts w:ascii="Times New Roman" w:hAnsi="Times New Roman" w:cs="Times New Roman"/>
          <w:sz w:val="24"/>
          <w:szCs w:val="24"/>
        </w:rPr>
        <w:t xml:space="preserve"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7" w:tooltip="https://www.fabrikant.ru/rules/common?category-id=1705" w:history="1">
        <w:r>
          <w:rPr>
            <w:rStyle w:val="890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t xml:space="preserve">.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 xml:space="preserve">лючение договора купли-продажи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ранее</w:t>
      </w:r>
      <w:r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 xml:space="preserve">признан</w:t>
      </w:r>
      <w:r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 xml:space="preserve">пунктом 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.3 Извещения</w:t>
      </w:r>
      <w:r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подписанный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договора купли-продажи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.3 Извещения</w:t>
      </w:r>
      <w:r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.3 Извещения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.7.  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обедитель аукциона или иное лицо, с которым заключается договор купли-продажи земельного участка в соответствии с пунктами 13, 14 или 20 ст.39.12 Земельного кодекса Российской Федерации, обязаны подписать договор купли-продажи земельного участка в течение </w:t>
      </w:r>
      <w:r>
        <w:rPr>
          <w:rFonts w:ascii="Times New Roman" w:hAnsi="Times New Roman" w:cs="Times New Roman"/>
          <w:sz w:val="24"/>
          <w:szCs w:val="24"/>
        </w:rPr>
        <w:t xml:space="preserve">10 (десяти) рабочих 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ему в раздел Личный кабинет «Реестр договоров» такого договора.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.8.  </w:t>
      </w:r>
      <w:r>
        <w:rPr>
          <w:rFonts w:ascii="Times New Roman" w:hAnsi="Times New Roman" w:cs="Times New Roman"/>
          <w:sz w:val="24"/>
          <w:szCs w:val="24"/>
        </w:rPr>
        <w:t xml:space="preserve">Если договор купли-продажи земельного участка в течение </w:t>
      </w:r>
      <w:r>
        <w:rPr>
          <w:rFonts w:ascii="Times New Roman" w:hAnsi="Times New Roman" w:cs="Times New Roman"/>
          <w:sz w:val="24"/>
          <w:szCs w:val="24"/>
        </w:rPr>
        <w:t xml:space="preserve">10 (десяти) рабочих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проекта договора купли-продажи земельного участка победителю аукциона не был им подписан в разделе Личный кабинет «Реестр договоров», </w:t>
      </w:r>
      <w:r>
        <w:rPr>
          <w:rFonts w:ascii="Times New Roman" w:hAnsi="Times New Roman" w:cs="Times New Roman"/>
          <w:sz w:val="24"/>
          <w:szCs w:val="24"/>
        </w:rPr>
        <w:t xml:space="preserve">Продавец направляет указанный договор Участнику аукциона, который сделал предпоследнее предложение </w:t>
      </w:r>
      <w:r>
        <w:rPr>
          <w:rFonts w:ascii="Times New Roman" w:hAnsi="Times New Roman" w:cs="Times New Roman"/>
          <w:sz w:val="24"/>
          <w:szCs w:val="24"/>
        </w:rPr>
        <w:t xml:space="preserve">о цене предмета аукциона, для его</w:t>
      </w:r>
      <w:r>
        <w:rPr>
          <w:rFonts w:ascii="Times New Roman" w:hAnsi="Times New Roman" w:cs="Times New Roman"/>
          <w:sz w:val="24"/>
          <w:szCs w:val="24"/>
        </w:rPr>
        <w:t xml:space="preserve"> заключения</w:t>
      </w:r>
      <w:r>
        <w:rPr>
          <w:rFonts w:ascii="Times New Roman" w:hAnsi="Times New Roman" w:cs="Times New Roman"/>
          <w:sz w:val="24"/>
          <w:szCs w:val="24"/>
        </w:rPr>
        <w:t xml:space="preserve"> по цене, предложенной таким участником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.9.  </w:t>
      </w:r>
      <w:r>
        <w:rPr>
          <w:rFonts w:ascii="Times New Roman" w:hAnsi="Times New Roman" w:cs="Times New Roman"/>
          <w:sz w:val="24"/>
          <w:szCs w:val="24"/>
        </w:rPr>
        <w:t xml:space="preserve"> 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течение </w:t>
      </w:r>
      <w:r>
        <w:rPr>
          <w:rFonts w:ascii="Times New Roman" w:hAnsi="Times New Roman" w:cs="Times New Roman"/>
          <w:sz w:val="24"/>
          <w:szCs w:val="24"/>
        </w:rPr>
        <w:t xml:space="preserve">10 (десяти) рабочих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в раздел Личный кабинет «Реестр договоров» Участнику, который сделал предпоследнее предложение о цене Предмета аукциона, проекта договора купли-продажи земельного участка, такой Участник не</w:t>
      </w:r>
      <w:r>
        <w:rPr>
          <w:rFonts w:ascii="Times New Roman" w:hAnsi="Times New Roman" w:cs="Times New Roman"/>
          <w:sz w:val="24"/>
          <w:szCs w:val="24"/>
        </w:rPr>
        <w:t xml:space="preserve">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.10.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купли-продажи земельного участка в соответствии с пунктами 13, 14</w:t>
      </w:r>
      <w:r>
        <w:rPr>
          <w:rFonts w:ascii="Times New Roman" w:hAnsi="Times New Roman" w:cs="Times New Roman"/>
          <w:sz w:val="24"/>
          <w:szCs w:val="24"/>
        </w:rPr>
        <w:t xml:space="preserve">, 20 или 25</w:t>
      </w:r>
      <w:r>
        <w:rPr>
          <w:rFonts w:ascii="Times New Roman" w:hAnsi="Times New Roman" w:cs="Times New Roman"/>
          <w:sz w:val="24"/>
          <w:szCs w:val="24"/>
        </w:rPr>
        <w:t xml:space="preserve"> ст.39.12 Земельного кодекса Российской Федерации, в течение </w:t>
      </w:r>
      <w:r>
        <w:rPr>
          <w:rFonts w:ascii="Times New Roman" w:hAnsi="Times New Roman" w:cs="Times New Roman"/>
          <w:sz w:val="24"/>
          <w:szCs w:val="24"/>
        </w:rPr>
        <w:t xml:space="preserve">10 (десяти) рабочих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ему Организатором в раздел Личный кабинет «Реестр договоров» проекта указанного договора купли-продажи, не подписал указанный договор, Организатор аукциона направляет сведения</w:t>
      </w:r>
      <w:r>
        <w:rPr>
          <w:rFonts w:ascii="Times New Roman" w:hAnsi="Times New Roman" w:cs="Times New Roman"/>
          <w:sz w:val="24"/>
          <w:szCs w:val="24"/>
        </w:rPr>
        <w:t xml:space="preserve">, предусмотр</w:t>
      </w:r>
      <w:r>
        <w:rPr>
          <w:rFonts w:ascii="Times New Roman" w:hAnsi="Times New Roman" w:cs="Times New Roman"/>
          <w:sz w:val="24"/>
          <w:szCs w:val="24"/>
        </w:rPr>
        <w:t xml:space="preserve">енные п.29 ст.39.12 Земельного к</w:t>
      </w:r>
      <w:r>
        <w:rPr>
          <w:rFonts w:ascii="Times New Roman" w:hAnsi="Times New Roman" w:cs="Times New Roman"/>
          <w:sz w:val="24"/>
          <w:szCs w:val="24"/>
        </w:rPr>
        <w:t xml:space="preserve">одекса Российской Федерации,</w:t>
      </w:r>
      <w:r>
        <w:rPr>
          <w:rFonts w:ascii="Times New Roman" w:hAnsi="Times New Roman" w:cs="Times New Roman"/>
          <w:sz w:val="24"/>
          <w:szCs w:val="24"/>
        </w:rPr>
        <w:t xml:space="preserve"> в Федеральную антимонопольную службу России для включения в реестр недобросовестных участников аукциона.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0"/>
        <w:jc w:val="both"/>
        <w:spacing w:after="0" w:line="360" w:lineRule="exact"/>
      </w:pPr>
      <w:r/>
      <w:r/>
    </w:p>
    <w:sectPr>
      <w:headerReference w:type="default" r:id="rId9"/>
      <w:footnotePr/>
      <w:endnotePr/>
      <w:type w:val="nextPage"/>
      <w:pgSz w:w="11906" w:h="16838" w:orient="portrait"/>
      <w:pgMar w:top="567" w:right="707" w:bottom="426" w:left="1276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63130095"/>
      <w:docPartObj>
        <w:docPartGallery w:val="Page Numbers (Top of Page)"/>
        <w:docPartUnique w:val="true"/>
      </w:docPartObj>
      <w:rPr/>
    </w:sdtPr>
    <w:sdtContent>
      <w:p>
        <w:pPr>
          <w:pStyle w:val="885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8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2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3" w:hanging="39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363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5" w:hanging="36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855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57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9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3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5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95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6"/>
        <w:szCs w:val="26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5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7"/>
  </w:num>
  <w:num w:numId="9">
    <w:abstractNumId w:val="4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 w:default="1">
    <w:name w:val="Normal"/>
    <w:qFormat/>
  </w:style>
  <w:style w:type="character" w:styleId="700" w:default="1">
    <w:name w:val="Default Paragraph Font"/>
    <w:uiPriority w:val="1"/>
    <w:semiHidden/>
    <w:unhideWhenUsed/>
  </w:style>
  <w:style w:type="table" w:styleId="70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2" w:default="1">
    <w:name w:val="No List"/>
    <w:uiPriority w:val="99"/>
    <w:semiHidden/>
    <w:unhideWhenUsed/>
  </w:style>
  <w:style w:type="character" w:styleId="703" w:customStyle="1">
    <w:name w:val="Title Char"/>
    <w:basedOn w:val="700"/>
    <w:link w:val="728"/>
    <w:uiPriority w:val="10"/>
    <w:rPr>
      <w:sz w:val="48"/>
      <w:szCs w:val="48"/>
    </w:rPr>
  </w:style>
  <w:style w:type="character" w:styleId="704" w:customStyle="1">
    <w:name w:val="Subtitle Char"/>
    <w:basedOn w:val="700"/>
    <w:link w:val="730"/>
    <w:uiPriority w:val="11"/>
    <w:rPr>
      <w:sz w:val="24"/>
      <w:szCs w:val="24"/>
    </w:rPr>
  </w:style>
  <w:style w:type="character" w:styleId="705" w:customStyle="1">
    <w:name w:val="Quote Char"/>
    <w:link w:val="732"/>
    <w:uiPriority w:val="29"/>
    <w:rPr>
      <w:i/>
    </w:rPr>
  </w:style>
  <w:style w:type="character" w:styleId="706" w:customStyle="1">
    <w:name w:val="Intense Quote Char"/>
    <w:link w:val="734"/>
    <w:uiPriority w:val="30"/>
    <w:rPr>
      <w:i/>
    </w:rPr>
  </w:style>
  <w:style w:type="character" w:styleId="707" w:customStyle="1">
    <w:name w:val="Footnote Text Char"/>
    <w:link w:val="866"/>
    <w:uiPriority w:val="99"/>
    <w:rPr>
      <w:sz w:val="18"/>
    </w:rPr>
  </w:style>
  <w:style w:type="character" w:styleId="708" w:customStyle="1">
    <w:name w:val="Endnote Text Char"/>
    <w:link w:val="869"/>
    <w:uiPriority w:val="99"/>
    <w:rPr>
      <w:sz w:val="20"/>
    </w:rPr>
  </w:style>
  <w:style w:type="paragraph" w:styleId="709" w:customStyle="1">
    <w:name w:val="Heading 1"/>
    <w:basedOn w:val="699"/>
    <w:next w:val="699"/>
    <w:link w:val="71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710" w:customStyle="1">
    <w:name w:val="Heading 1 Char"/>
    <w:basedOn w:val="700"/>
    <w:link w:val="709"/>
    <w:uiPriority w:val="9"/>
    <w:rPr>
      <w:rFonts w:ascii="Arial" w:hAnsi="Arial" w:eastAsia="Arial" w:cs="Arial"/>
      <w:sz w:val="40"/>
      <w:szCs w:val="40"/>
    </w:rPr>
  </w:style>
  <w:style w:type="paragraph" w:styleId="711" w:customStyle="1">
    <w:name w:val="Heading 2"/>
    <w:basedOn w:val="699"/>
    <w:next w:val="699"/>
    <w:link w:val="712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712" w:customStyle="1">
    <w:name w:val="Heading 2 Char"/>
    <w:basedOn w:val="700"/>
    <w:link w:val="711"/>
    <w:uiPriority w:val="9"/>
    <w:rPr>
      <w:rFonts w:ascii="Arial" w:hAnsi="Arial" w:eastAsia="Arial" w:cs="Arial"/>
      <w:sz w:val="34"/>
    </w:rPr>
  </w:style>
  <w:style w:type="paragraph" w:styleId="713" w:customStyle="1">
    <w:name w:val="Heading 3"/>
    <w:basedOn w:val="699"/>
    <w:next w:val="699"/>
    <w:link w:val="714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714" w:customStyle="1">
    <w:name w:val="Heading 3 Char"/>
    <w:basedOn w:val="700"/>
    <w:link w:val="713"/>
    <w:uiPriority w:val="9"/>
    <w:rPr>
      <w:rFonts w:ascii="Arial" w:hAnsi="Arial" w:eastAsia="Arial" w:cs="Arial"/>
      <w:sz w:val="30"/>
      <w:szCs w:val="30"/>
    </w:rPr>
  </w:style>
  <w:style w:type="paragraph" w:styleId="715" w:customStyle="1">
    <w:name w:val="Heading 4"/>
    <w:basedOn w:val="699"/>
    <w:next w:val="699"/>
    <w:link w:val="716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6" w:customStyle="1">
    <w:name w:val="Heading 4 Char"/>
    <w:basedOn w:val="700"/>
    <w:link w:val="715"/>
    <w:uiPriority w:val="9"/>
    <w:rPr>
      <w:rFonts w:ascii="Arial" w:hAnsi="Arial" w:eastAsia="Arial" w:cs="Arial"/>
      <w:b/>
      <w:bCs/>
      <w:sz w:val="26"/>
      <w:szCs w:val="26"/>
    </w:rPr>
  </w:style>
  <w:style w:type="paragraph" w:styleId="717" w:customStyle="1">
    <w:name w:val="Heading 5"/>
    <w:basedOn w:val="699"/>
    <w:next w:val="699"/>
    <w:link w:val="71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8" w:customStyle="1">
    <w:name w:val="Heading 5 Char"/>
    <w:basedOn w:val="700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719" w:customStyle="1">
    <w:name w:val="Heading 6"/>
    <w:basedOn w:val="699"/>
    <w:next w:val="699"/>
    <w:link w:val="720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720" w:customStyle="1">
    <w:name w:val="Heading 6 Char"/>
    <w:basedOn w:val="700"/>
    <w:link w:val="719"/>
    <w:uiPriority w:val="9"/>
    <w:rPr>
      <w:rFonts w:ascii="Arial" w:hAnsi="Arial" w:eastAsia="Arial" w:cs="Arial"/>
      <w:b/>
      <w:bCs/>
      <w:sz w:val="22"/>
      <w:szCs w:val="22"/>
    </w:rPr>
  </w:style>
  <w:style w:type="paragraph" w:styleId="721" w:customStyle="1">
    <w:name w:val="Heading 7"/>
    <w:basedOn w:val="699"/>
    <w:next w:val="699"/>
    <w:link w:val="72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722" w:customStyle="1">
    <w:name w:val="Heading 7 Char"/>
    <w:basedOn w:val="700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3" w:customStyle="1">
    <w:name w:val="Heading 8"/>
    <w:basedOn w:val="699"/>
    <w:next w:val="699"/>
    <w:link w:val="724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724" w:customStyle="1">
    <w:name w:val="Heading 8 Char"/>
    <w:basedOn w:val="700"/>
    <w:link w:val="723"/>
    <w:uiPriority w:val="9"/>
    <w:rPr>
      <w:rFonts w:ascii="Arial" w:hAnsi="Arial" w:eastAsia="Arial" w:cs="Arial"/>
      <w:i/>
      <w:iCs/>
      <w:sz w:val="22"/>
      <w:szCs w:val="22"/>
    </w:rPr>
  </w:style>
  <w:style w:type="paragraph" w:styleId="725" w:customStyle="1">
    <w:name w:val="Heading 9"/>
    <w:basedOn w:val="699"/>
    <w:next w:val="699"/>
    <w:link w:val="726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 w:customStyle="1">
    <w:name w:val="Heading 9 Char"/>
    <w:basedOn w:val="700"/>
    <w:link w:val="725"/>
    <w:uiPriority w:val="9"/>
    <w:rPr>
      <w:rFonts w:ascii="Arial" w:hAnsi="Arial" w:eastAsia="Arial" w:cs="Arial"/>
      <w:i/>
      <w:iCs/>
      <w:sz w:val="21"/>
      <w:szCs w:val="21"/>
    </w:rPr>
  </w:style>
  <w:style w:type="paragraph" w:styleId="727">
    <w:name w:val="No Spacing"/>
    <w:uiPriority w:val="1"/>
    <w:qFormat/>
    <w:pPr>
      <w:spacing w:after="0" w:line="240" w:lineRule="auto"/>
    </w:pPr>
  </w:style>
  <w:style w:type="paragraph" w:styleId="728">
    <w:name w:val="Title"/>
    <w:basedOn w:val="699"/>
    <w:next w:val="699"/>
    <w:link w:val="729"/>
    <w:uiPriority w:val="10"/>
    <w:qFormat/>
    <w:pPr>
      <w:contextualSpacing/>
      <w:spacing w:before="300"/>
    </w:pPr>
    <w:rPr>
      <w:sz w:val="48"/>
      <w:szCs w:val="48"/>
    </w:rPr>
  </w:style>
  <w:style w:type="character" w:styleId="729" w:customStyle="1">
    <w:name w:val="Название Знак"/>
    <w:basedOn w:val="700"/>
    <w:link w:val="728"/>
    <w:uiPriority w:val="10"/>
    <w:rPr>
      <w:sz w:val="48"/>
      <w:szCs w:val="48"/>
    </w:rPr>
  </w:style>
  <w:style w:type="paragraph" w:styleId="730">
    <w:name w:val="Subtitle"/>
    <w:basedOn w:val="699"/>
    <w:next w:val="699"/>
    <w:link w:val="731"/>
    <w:uiPriority w:val="11"/>
    <w:qFormat/>
    <w:pPr>
      <w:spacing w:before="200"/>
    </w:pPr>
    <w:rPr>
      <w:sz w:val="24"/>
      <w:szCs w:val="24"/>
    </w:rPr>
  </w:style>
  <w:style w:type="character" w:styleId="731" w:customStyle="1">
    <w:name w:val="Подзаголовок Знак"/>
    <w:basedOn w:val="700"/>
    <w:link w:val="730"/>
    <w:uiPriority w:val="11"/>
    <w:rPr>
      <w:sz w:val="24"/>
      <w:szCs w:val="24"/>
    </w:rPr>
  </w:style>
  <w:style w:type="paragraph" w:styleId="732">
    <w:name w:val="Quote"/>
    <w:basedOn w:val="699"/>
    <w:next w:val="699"/>
    <w:link w:val="733"/>
    <w:uiPriority w:val="29"/>
    <w:qFormat/>
    <w:pPr>
      <w:ind w:left="720" w:right="720"/>
    </w:pPr>
    <w:rPr>
      <w:i/>
    </w:rPr>
  </w:style>
  <w:style w:type="character" w:styleId="733" w:customStyle="1">
    <w:name w:val="Цитата 2 Знак"/>
    <w:link w:val="732"/>
    <w:uiPriority w:val="29"/>
    <w:rPr>
      <w:i/>
    </w:rPr>
  </w:style>
  <w:style w:type="paragraph" w:styleId="734">
    <w:name w:val="Intense Quote"/>
    <w:basedOn w:val="699"/>
    <w:next w:val="699"/>
    <w:link w:val="73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 w:customStyle="1">
    <w:name w:val="Выделенная цитата Знак"/>
    <w:link w:val="734"/>
    <w:uiPriority w:val="30"/>
    <w:rPr>
      <w:i/>
    </w:rPr>
  </w:style>
  <w:style w:type="character" w:styleId="736" w:customStyle="1">
    <w:name w:val="Header Char"/>
    <w:basedOn w:val="700"/>
    <w:link w:val="885"/>
    <w:uiPriority w:val="99"/>
  </w:style>
  <w:style w:type="character" w:styleId="737" w:customStyle="1">
    <w:name w:val="Footer Char"/>
    <w:basedOn w:val="700"/>
    <w:link w:val="887"/>
    <w:uiPriority w:val="99"/>
  </w:style>
  <w:style w:type="paragraph" w:styleId="738" w:customStyle="1">
    <w:name w:val="Caption"/>
    <w:basedOn w:val="699"/>
    <w:next w:val="699"/>
    <w:link w:val="739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9" w:customStyle="1">
    <w:name w:val="Caption Char"/>
    <w:basedOn w:val="700"/>
    <w:link w:val="738"/>
    <w:uiPriority w:val="35"/>
    <w:rPr>
      <w:b/>
      <w:bCs/>
      <w:color w:val="4f81bd" w:themeColor="accent1"/>
      <w:sz w:val="18"/>
      <w:szCs w:val="18"/>
    </w:rPr>
  </w:style>
  <w:style w:type="table" w:styleId="740">
    <w:name w:val="Table Grid"/>
    <w:basedOn w:val="70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 w:customStyle="1">
    <w:name w:val="Table Grid Light"/>
    <w:basedOn w:val="70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 w:customStyle="1">
    <w:name w:val="Plain Table 1"/>
    <w:basedOn w:val="70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 w:customStyle="1">
    <w:name w:val="Plain Table 2"/>
    <w:basedOn w:val="70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 w:customStyle="1">
    <w:name w:val="Plain Table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 w:customStyle="1">
    <w:name w:val="Plain Table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Plain Table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1 Light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4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 w:customStyle="1">
    <w:name w:val="Grid Table 4 - Accent 1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0" w:customStyle="1">
    <w:name w:val="Grid Table 4 - Accent 2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1" w:customStyle="1">
    <w:name w:val="Grid Table 4 - Accent 3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2" w:customStyle="1">
    <w:name w:val="Grid Table 4 - Accent 4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3" w:customStyle="1">
    <w:name w:val="Grid Table 4 - Accent 5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4" w:customStyle="1">
    <w:name w:val="Grid Table 4 - Accent 6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5" w:customStyle="1">
    <w:name w:val="Grid Table 5 Dark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6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3" w:customStyle="1">
    <w:name w:val="Grid Table 6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4" w:customStyle="1">
    <w:name w:val="Grid Table 6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5" w:customStyle="1">
    <w:name w:val="Grid Table 6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6" w:customStyle="1">
    <w:name w:val="Grid Table 6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7" w:customStyle="1">
    <w:name w:val="Grid Table 6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8" w:customStyle="1">
    <w:name w:val="Grid Table 6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9" w:customStyle="1">
    <w:name w:val="Grid Table 7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0" w:customStyle="1">
    <w:name w:val="List Table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5 Dark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6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2" w:customStyle="1">
    <w:name w:val="List Table 6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3" w:customStyle="1">
    <w:name w:val="List Table 6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4" w:customStyle="1">
    <w:name w:val="List Table 6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5" w:customStyle="1">
    <w:name w:val="List Table 6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6" w:customStyle="1">
    <w:name w:val="List Table 6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7" w:customStyle="1">
    <w:name w:val="List Table 6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8" w:customStyle="1">
    <w:name w:val="List Table 7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ned - Accent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6" w:customStyle="1">
    <w:name w:val="Lined - Accent 1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7" w:customStyle="1">
    <w:name w:val="Lined - Accent 2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8" w:customStyle="1">
    <w:name w:val="Lined - Accent 3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9" w:customStyle="1">
    <w:name w:val="Lined - Accent 4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0" w:customStyle="1">
    <w:name w:val="Lined - Accent 5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1" w:customStyle="1">
    <w:name w:val="Lined - Accent 6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2" w:customStyle="1">
    <w:name w:val="Bordered &amp; Lined - Accent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3" w:customStyle="1">
    <w:name w:val="Bordered &amp; Lined - Accent 1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4" w:customStyle="1">
    <w:name w:val="Bordered &amp; Lined - Accent 2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5" w:customStyle="1">
    <w:name w:val="Bordered &amp; Lined - Accent 3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6" w:customStyle="1">
    <w:name w:val="Bordered &amp; Lined - Accent 4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7" w:customStyle="1">
    <w:name w:val="Bordered &amp; Lined - Accent 5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8" w:customStyle="1">
    <w:name w:val="Bordered &amp; Lined - Accent 6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9" w:customStyle="1">
    <w:name w:val="Bordered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0" w:customStyle="1">
    <w:name w:val="Bordered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1" w:customStyle="1">
    <w:name w:val="Bordered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2" w:customStyle="1">
    <w:name w:val="Bordered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3" w:customStyle="1">
    <w:name w:val="Bordered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4" w:customStyle="1">
    <w:name w:val="Bordered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5" w:customStyle="1">
    <w:name w:val="Bordered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6">
    <w:name w:val="footnote text"/>
    <w:basedOn w:val="699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 w:customStyle="1">
    <w:name w:val="Текст сноски Знак"/>
    <w:link w:val="866"/>
    <w:uiPriority w:val="99"/>
    <w:rPr>
      <w:sz w:val="18"/>
    </w:rPr>
  </w:style>
  <w:style w:type="character" w:styleId="868">
    <w:name w:val="footnote reference"/>
    <w:basedOn w:val="700"/>
    <w:uiPriority w:val="99"/>
    <w:unhideWhenUsed/>
    <w:rPr>
      <w:vertAlign w:val="superscript"/>
    </w:rPr>
  </w:style>
  <w:style w:type="paragraph" w:styleId="869">
    <w:name w:val="endnote text"/>
    <w:basedOn w:val="699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 w:customStyle="1">
    <w:name w:val="Текст концевой сноски Знак"/>
    <w:link w:val="869"/>
    <w:uiPriority w:val="99"/>
    <w:rPr>
      <w:sz w:val="20"/>
    </w:rPr>
  </w:style>
  <w:style w:type="character" w:styleId="871">
    <w:name w:val="endnote reference"/>
    <w:basedOn w:val="700"/>
    <w:uiPriority w:val="99"/>
    <w:semiHidden/>
    <w:unhideWhenUsed/>
    <w:rPr>
      <w:vertAlign w:val="superscript"/>
    </w:rPr>
  </w:style>
  <w:style w:type="paragraph" w:styleId="872">
    <w:name w:val="toc 1"/>
    <w:basedOn w:val="699"/>
    <w:next w:val="699"/>
    <w:uiPriority w:val="39"/>
    <w:unhideWhenUsed/>
    <w:pPr>
      <w:spacing w:after="57"/>
    </w:pPr>
  </w:style>
  <w:style w:type="paragraph" w:styleId="873">
    <w:name w:val="toc 2"/>
    <w:basedOn w:val="699"/>
    <w:next w:val="699"/>
    <w:uiPriority w:val="39"/>
    <w:unhideWhenUsed/>
    <w:pPr>
      <w:ind w:left="283"/>
      <w:spacing w:after="57"/>
    </w:pPr>
  </w:style>
  <w:style w:type="paragraph" w:styleId="874">
    <w:name w:val="toc 3"/>
    <w:basedOn w:val="699"/>
    <w:next w:val="699"/>
    <w:uiPriority w:val="39"/>
    <w:unhideWhenUsed/>
    <w:pPr>
      <w:ind w:left="567"/>
      <w:spacing w:after="57"/>
    </w:pPr>
  </w:style>
  <w:style w:type="paragraph" w:styleId="875">
    <w:name w:val="toc 4"/>
    <w:basedOn w:val="699"/>
    <w:next w:val="699"/>
    <w:uiPriority w:val="39"/>
    <w:unhideWhenUsed/>
    <w:pPr>
      <w:ind w:left="850"/>
      <w:spacing w:after="57"/>
    </w:pPr>
  </w:style>
  <w:style w:type="paragraph" w:styleId="876">
    <w:name w:val="toc 5"/>
    <w:basedOn w:val="699"/>
    <w:next w:val="699"/>
    <w:uiPriority w:val="39"/>
    <w:unhideWhenUsed/>
    <w:pPr>
      <w:ind w:left="1134"/>
      <w:spacing w:after="57"/>
    </w:pPr>
  </w:style>
  <w:style w:type="paragraph" w:styleId="877">
    <w:name w:val="toc 6"/>
    <w:basedOn w:val="699"/>
    <w:next w:val="699"/>
    <w:uiPriority w:val="39"/>
    <w:unhideWhenUsed/>
    <w:pPr>
      <w:ind w:left="1417"/>
      <w:spacing w:after="57"/>
    </w:pPr>
  </w:style>
  <w:style w:type="paragraph" w:styleId="878">
    <w:name w:val="toc 7"/>
    <w:basedOn w:val="699"/>
    <w:next w:val="699"/>
    <w:uiPriority w:val="39"/>
    <w:unhideWhenUsed/>
    <w:pPr>
      <w:ind w:left="1701"/>
      <w:spacing w:after="57"/>
    </w:pPr>
  </w:style>
  <w:style w:type="paragraph" w:styleId="879">
    <w:name w:val="toc 8"/>
    <w:basedOn w:val="699"/>
    <w:next w:val="699"/>
    <w:uiPriority w:val="39"/>
    <w:unhideWhenUsed/>
    <w:pPr>
      <w:ind w:left="1984"/>
      <w:spacing w:after="57"/>
    </w:pPr>
  </w:style>
  <w:style w:type="paragraph" w:styleId="880">
    <w:name w:val="toc 9"/>
    <w:basedOn w:val="699"/>
    <w:next w:val="699"/>
    <w:uiPriority w:val="39"/>
    <w:unhideWhenUsed/>
    <w:pPr>
      <w:ind w:left="2268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699"/>
    <w:next w:val="699"/>
    <w:uiPriority w:val="99"/>
    <w:unhideWhenUsed/>
    <w:pPr>
      <w:spacing w:after="0"/>
    </w:pPr>
  </w:style>
  <w:style w:type="paragraph" w:styleId="883">
    <w:name w:val="Body Text 3"/>
    <w:basedOn w:val="699"/>
    <w:link w:val="884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884" w:customStyle="1">
    <w:name w:val="Основной текст 3 Знак"/>
    <w:basedOn w:val="700"/>
    <w:link w:val="883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885" w:customStyle="1">
    <w:name w:val="Header"/>
    <w:basedOn w:val="699"/>
    <w:link w:val="88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6" w:customStyle="1">
    <w:name w:val="Верхний колонтитул Знак"/>
    <w:basedOn w:val="700"/>
    <w:link w:val="885"/>
    <w:uiPriority w:val="99"/>
  </w:style>
  <w:style w:type="paragraph" w:styleId="887" w:customStyle="1">
    <w:name w:val="Footer"/>
    <w:basedOn w:val="699"/>
    <w:link w:val="888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8" w:customStyle="1">
    <w:name w:val="Нижний колонтитул Знак"/>
    <w:basedOn w:val="700"/>
    <w:link w:val="887"/>
    <w:uiPriority w:val="99"/>
    <w:semiHidden/>
  </w:style>
  <w:style w:type="paragraph" w:styleId="889">
    <w:name w:val="List Paragraph"/>
    <w:basedOn w:val="699"/>
    <w:uiPriority w:val="34"/>
    <w:qFormat/>
    <w:pPr>
      <w:contextualSpacing/>
      <w:ind w:left="720"/>
    </w:pPr>
  </w:style>
  <w:style w:type="character" w:styleId="890">
    <w:name w:val="Hyperlink"/>
    <w:basedOn w:val="700"/>
    <w:uiPriority w:val="99"/>
    <w:unhideWhenUsed/>
    <w:rPr>
      <w:color w:val="0000ff" w:themeColor="hyperlink"/>
      <w:u w:val="single"/>
    </w:rPr>
  </w:style>
  <w:style w:type="paragraph" w:styleId="891">
    <w:name w:val="Body Text 2"/>
    <w:basedOn w:val="699"/>
    <w:link w:val="892"/>
    <w:uiPriority w:val="99"/>
    <w:semiHidden/>
    <w:unhideWhenUsed/>
    <w:pPr>
      <w:spacing w:after="120" w:line="480" w:lineRule="auto"/>
    </w:pPr>
  </w:style>
  <w:style w:type="character" w:styleId="892" w:customStyle="1">
    <w:name w:val="Основной текст 2 Знак"/>
    <w:basedOn w:val="700"/>
    <w:link w:val="891"/>
    <w:uiPriority w:val="99"/>
    <w:semiHidden/>
  </w:style>
  <w:style w:type="paragraph" w:styleId="893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ru-RU"/>
    </w:rPr>
  </w:style>
  <w:style w:type="character" w:styleId="894" w:customStyle="1">
    <w:name w:val="Date_num"/>
    <w:basedOn w:val="700"/>
  </w:style>
  <w:style w:type="character" w:styleId="895" w:customStyle="1">
    <w:name w:val="Unresolved Mention"/>
    <w:basedOn w:val="700"/>
    <w:uiPriority w:val="99"/>
    <w:semiHidden/>
    <w:unhideWhenUsed/>
    <w:rPr>
      <w:color w:val="605e5c"/>
      <w:shd w:val="clear" w:color="auto" w:fill="e1dfdd"/>
    </w:rPr>
  </w:style>
  <w:style w:type="paragraph" w:styleId="896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paragraph" w:styleId="897">
    <w:name w:val="Body Text Indent 2"/>
    <w:basedOn w:val="699"/>
    <w:link w:val="898"/>
    <w:uiPriority w:val="99"/>
    <w:unhideWhenUsed/>
    <w:pPr>
      <w:ind w:left="283"/>
      <w:spacing w:after="120" w:line="480" w:lineRule="auto"/>
    </w:pPr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898" w:customStyle="1">
    <w:name w:val="Основной текст с отступом 2 Знак"/>
    <w:basedOn w:val="700"/>
    <w:link w:val="897"/>
    <w:uiPriority w:val="99"/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899">
    <w:name w:val="Balloon Text"/>
    <w:basedOn w:val="699"/>
    <w:link w:val="90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00" w:customStyle="1">
    <w:name w:val="Текст выноски Знак"/>
    <w:basedOn w:val="700"/>
    <w:link w:val="899"/>
    <w:uiPriority w:val="99"/>
    <w:semiHidden/>
    <w:rPr>
      <w:rFonts w:ascii="Tahoma" w:hAnsi="Tahoma" w:cs="Tahoma"/>
      <w:sz w:val="16"/>
      <w:szCs w:val="16"/>
    </w:rPr>
  </w:style>
  <w:style w:type="paragraph" w:styleId="901" w:customStyle="1">
    <w:name w:val="rezul"/>
    <w:basedOn w:val="699"/>
    <w:pPr>
      <w:ind w:firstLine="283"/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b/>
      <w:szCs w:val="20"/>
      <w:lang w:val="en-US"/>
    </w:rPr>
  </w:style>
  <w:style w:type="character" w:styleId="902" w:customStyle="1">
    <w:name w:val="docdata"/>
    <w:basedOn w:val="700"/>
  </w:style>
  <w:style w:type="paragraph" w:styleId="903">
    <w:name w:val="Normal (Web)"/>
    <w:basedOn w:val="699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&#1085;&#1080;&#1078;&#1085;&#1080;&#1081;&#1085;&#1086;&#1074;&#1075;&#1086;&#1088;&#1086;&#1076;.&#1088;&#1092;" TargetMode="External"/><Relationship Id="rId12" Type="http://schemas.openxmlformats.org/officeDocument/2006/relationships/hyperlink" Target="mailto:ann@admgor.nnov.ru" TargetMode="External"/><Relationship Id="rId13" Type="http://schemas.openxmlformats.org/officeDocument/2006/relationships/hyperlink" Target="mailto:kugi@admgor.nnov.ru" TargetMode="External"/><Relationship Id="rId14" Type="http://schemas.openxmlformats.org/officeDocument/2006/relationships/hyperlink" Target="http://www.fabrikant.ru" TargetMode="External"/><Relationship Id="rId15" Type="http://schemas.openxmlformats.org/officeDocument/2006/relationships/hyperlink" Target="mailto:realty@etpz.ru" TargetMode="External"/><Relationship Id="rId16" Type="http://schemas.openxmlformats.org/officeDocument/2006/relationships/hyperlink" Target="https://www.fabrikant.ru/rules/common?category-id=1716" TargetMode="External"/><Relationship Id="rId17" Type="http://schemas.openxmlformats.org/officeDocument/2006/relationships/hyperlink" Target="http://www.fabrikant.ru" TargetMode="External"/><Relationship Id="rId18" Type="http://schemas.openxmlformats.org/officeDocument/2006/relationships/hyperlink" Target="http://www.fabrikant.ru" TargetMode="External"/><Relationship Id="rId19" Type="http://schemas.openxmlformats.org/officeDocument/2006/relationships/hyperlink" Target="http://www.torgi.gov.ru" TargetMode="External"/><Relationship Id="rId20" Type="http://schemas.openxmlformats.org/officeDocument/2006/relationships/hyperlink" Target="http://www.&#1085;&#1080;&#1078;&#1085;&#1080;&#1081;&#1085;&#1086;&#1074;&#1075;&#1086;&#1088;&#1086;&#1076;.&#1088;&#1092;" TargetMode="External"/><Relationship Id="rId21" Type="http://schemas.openxmlformats.org/officeDocument/2006/relationships/hyperlink" Target="http://www.fabrikant.ru" TargetMode="External"/><Relationship Id="rId22" Type="http://schemas.openxmlformats.org/officeDocument/2006/relationships/hyperlink" Target="http://www.torgi.gov.ru" TargetMode="External"/><Relationship Id="rId23" Type="http://schemas.openxmlformats.org/officeDocument/2006/relationships/hyperlink" Target="http://www.torgi.gov.ru" TargetMode="External"/><Relationship Id="rId24" Type="http://schemas.openxmlformats.org/officeDocument/2006/relationships/hyperlink" Target="https://www.fabrikant.ru/rules/common?category-id=1547" TargetMode="External"/><Relationship Id="rId25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27" Type="http://schemas.openxmlformats.org/officeDocument/2006/relationships/hyperlink" Target="https://www.fabrikant.ru/rules/common?category-id=170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F54D4-236C-4765-97A3-D48887A0A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l.sozonova@ADMGOR.NN</cp:lastModifiedBy>
  <cp:revision>56</cp:revision>
  <dcterms:created xsi:type="dcterms:W3CDTF">2025-03-27T14:30:00Z</dcterms:created>
  <dcterms:modified xsi:type="dcterms:W3CDTF">2026-04-21T10:29:03Z</dcterms:modified>
</cp:coreProperties>
</file>