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продаже земельного участка, расположенного по адресу: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Российская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Федерация, Нижегородская область, 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родской округ город Нижний Новгород,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деревня Кусаковка, ул. Горская, восточ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нее земельного участка с кадастровым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номером 52:24:0040201:2186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кадастровый номер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52:24:0040201:7073, с видом разрешенного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использования: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 веде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ния личного подсобного хозяйства (при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усадебный земельный участок)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начала приема заявок: 24.04.2026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окончания приема заявок: 27.05.2026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аукциона: 29.05.2026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2026</w:t>
      </w:r>
      <w:r/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  Правовое регулирование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постановления администрации города Нижнего Новгорода от 16.04.2026 № 3009 «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 проведении аукциона в электронной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форме по продаже земельного участка,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расположенного по адресу: Российская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Федерация, Нижегородская область, го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родской округ город Нижний Новгород,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деревня Кусаковка, ул. Горская, восточ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нее земельного участка с кадастровым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номером 52:24:0040201:2186, кадастро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вый номер 52:24:0040201:7073, с видом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разрешенного использования: для веде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ния личного подсобного хозяйства (при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усадебный земельный участок)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»;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иных нормативно правовых актов 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  Сведения об аукционе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  Продавец</w:t>
      </w:r>
      <w:r>
        <w:rPr>
          <w:rFonts w:ascii="Times New Roman" w:hAnsi="Times New Roman" w:cs="Times New Roman"/>
          <w:sz w:val="24"/>
          <w:szCs w:val="24"/>
        </w:rPr>
        <w:t xml:space="preserve"> – Администрация города Нижнего Новгорода.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603082, город Нижний Новгород, Кремль, корп.5.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нижнийновгород.рф" w:history="1"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</w:rPr>
          <w:t xml:space="preserve">ann@admgor.nnov.ru</w:t>
        </w:r>
      </w:hyperlink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467-10-03.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603005, г. Н.Новгород, улица Большая Покровская, дом 15.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mailto:kugi@admgor.nnov.ru" w:history="1">
        <w:r>
          <w:rPr>
            <w:rStyle w:val="890"/>
            <w:rFonts w:ascii="Times New Roman" w:hAnsi="Times New Roman" w:cs="Times New Roman"/>
            <w:sz w:val="24"/>
            <w:szCs w:val="24"/>
            <w:lang w:val="en-US"/>
          </w:rPr>
          <w:t xml:space="preserve">kugi</w:t>
        </w:r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90"/>
            <w:rFonts w:ascii="Times New Roman" w:hAnsi="Times New Roman" w:cs="Times New Roman"/>
            <w:sz w:val="24"/>
            <w:szCs w:val="24"/>
            <w:lang w:val="en-US"/>
          </w:rPr>
          <w:t xml:space="preserve">admgor</w:t>
        </w:r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90"/>
            <w:rFonts w:ascii="Times New Roman" w:hAnsi="Times New Roman" w:cs="Times New Roman"/>
            <w:sz w:val="24"/>
            <w:szCs w:val="24"/>
            <w:lang w:val="en-US"/>
          </w:rPr>
          <w:t xml:space="preserve">nnov</w:t>
        </w:r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90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(831) 435-69-33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</w:t>
      </w:r>
      <w:r>
        <w:rPr>
          <w:rFonts w:ascii="Times New Roman" w:hAnsi="Times New Roman" w:cs="Times New Roman"/>
          <w:sz w:val="24"/>
          <w:szCs w:val="24"/>
        </w:rPr>
        <w:t xml:space="preserve">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</w:t>
      </w:r>
      <w:r>
        <w:rPr>
          <w:rFonts w:ascii="Times New Roman" w:hAnsi="Times New Roman" w:cs="Times New Roman"/>
          <w:sz w:val="24"/>
          <w:szCs w:val="24"/>
        </w:rPr>
        <w:t xml:space="preserve">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r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АО «Электронные торговые системы».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123112, г</w:t>
      </w:r>
      <w:r>
        <w:rPr>
          <w:rFonts w:ascii="Times New Roman" w:hAnsi="Times New Roman" w:cs="Times New Roman"/>
          <w:sz w:val="24"/>
          <w:szCs w:val="24"/>
        </w:rPr>
        <w:t xml:space="preserve">.М</w:t>
      </w:r>
      <w:r>
        <w:rPr>
          <w:rFonts w:ascii="Times New Roman" w:hAnsi="Times New Roman" w:cs="Times New Roman"/>
          <w:sz w:val="24"/>
          <w:szCs w:val="24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http://www.fabrikant.ru" w:history="1"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mailto:realty@etpz.ru" w:history="1">
        <w:r>
          <w:rPr>
            <w:rStyle w:val="890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(495) 514-02-04.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2.4.  Предмет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земельный участок, государственная собственность на который не разграничена, расположенный по адресу: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Российская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Федерация, Нижегородская область, го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родской округ город Нижний Новгород,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деревня Кусаковка, ул. Горская, восточ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нее земельного участка с кадастровым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номером 52:24:0040201:2186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кадастровый номер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52:24:0040201:7073, с видом разрешенного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использования: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для веде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ния личного подсобного хозяйства (при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усадебный земельный участок)</w:t>
      </w:r>
      <w:r>
        <w:rPr>
          <w:rStyle w:val="894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(далее – земельный участок).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2.5.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</w:rPr>
        <w:t xml:space="preserve"> Сведения о земельном участке: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b w:val="0"/>
          <w:bCs w:val="0"/>
        </w:rPr>
      </w:pPr>
      <w:r>
        <w:rPr>
          <w:rStyle w:val="902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Местоположение: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Российская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Федерация, Нижегородская область, го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родской округ город Нижний Новгород,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деревня Кусаковка, ул. Горская, восточ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нее земельного участка с кадастровым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номером 52:24:0040201:2186</w:t>
      </w:r>
      <w:r>
        <w:rPr>
          <w:rStyle w:val="894"/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</w:rPr>
        <w:t xml:space="preserve"> 587 +/-8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кв.м.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Кадастровый номер: </w:t>
      </w:r>
      <w:r>
        <w:rPr>
          <w:rStyle w:val="894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52:24:0040201:7073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Виды разрешенного использования: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для веде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ния личного подсобного хозяйства (при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усадебный земельный участок)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не зарегистрированы.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права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х на земельный участок: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государственная собственность не разграничена.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расположенного по адресу:</w:t>
      </w:r>
      <w:r>
        <w:rPr>
          <w:rStyle w:val="902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Style w:val="902"/>
          <w:rFonts w:ascii="Times New Roman" w:hAnsi="Times New Roman" w:cs="Times New Roman"/>
          <w:bCs/>
          <w:color w:val="000000"/>
          <w:sz w:val="24"/>
          <w:szCs w:val="24"/>
        </w:rPr>
        <w:t xml:space="preserve">Нижегородская обл., городской округ город Нижний Новгород, деревня Кусаковка, ул. Горская, восточнее земельного участка с кадастровым номером 52:24:0040201:2186</w:t>
      </w:r>
      <w:r>
        <w:rPr>
          <w:rStyle w:val="894"/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№ РФ-52-2-01-0-00-2026-0127-0, дата выдачи 04.02.2026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Градостроительный план содержит сведения: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о виде или видах разрешенного использования земельного участка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(п.2.2 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радостроительного плана земельного участка)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708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- о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принадлежности земельного участка к определенной территориальной зоне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(абз.1 п.2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радостроительного плана земельного участка)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наличии или отсутствии ограничений в использовании земельного участка (п.5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2.6.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(стоимость земельного участка) – </w:t>
      </w:r>
      <w:r>
        <w:rPr>
          <w:rFonts w:ascii="Times New Roman" w:hAnsi="Times New Roman" w:cs="Times New Roman"/>
          <w:b/>
          <w:sz w:val="24"/>
          <w:szCs w:val="24"/>
        </w:rPr>
        <w:t xml:space="preserve">694 421 (шестьсот девяносто четыре тысячи четыреста двадцать </w:t>
      </w:r>
      <w:r>
        <w:rPr>
          <w:rFonts w:ascii="Times New Roman" w:hAnsi="Times New Roman" w:cs="Times New Roman"/>
          <w:b/>
          <w:sz w:val="24"/>
          <w:szCs w:val="24"/>
        </w:rPr>
        <w:t xml:space="preserve">один)</w:t>
      </w:r>
      <w:r>
        <w:rPr>
          <w:rFonts w:ascii="Times New Roman" w:hAnsi="Times New Roman" w:cs="Times New Roman"/>
          <w:b/>
          <w:sz w:val="24"/>
          <w:szCs w:val="24"/>
        </w:rPr>
        <w:t xml:space="preserve"> рубль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Стоимость земельного участка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определена на основании отчета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 оценке № 138 от 09.03.2026 об определении рыночной стоимости права собственности и права пользования в год в отношении земельного участка общей площадью 587 кв.м., с кадастровым номером 52:24:0040201:7073 категория земель: земли населенных пунктов,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разрешенное использование: для ведения личного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подсобного хозяйства (приусадебный земельный участок), местоположение: Российская Федерация, Нижегородская область, городской округ город Нижний Новгород, деревня Кусаковка, ул. Горская, восточнее земельного участка с кадастровым номером 52:24:0040201:2186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выполненного ООО «Консалтинг-Спектр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» в соответствии с законодательством Российской Федерации об оценочной деятельности.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t xml:space="preserve">Оплата приобретаемого в собственность земельного участка производится согласно </w:t>
      </w:r>
      <w:r>
        <w:rPr>
          <w:rFonts w:ascii="Times New Roman" w:hAnsi="Times New Roman" w:cs="Times New Roman"/>
          <w:sz w:val="24"/>
          <w:szCs w:val="24"/>
        </w:rPr>
        <w:t xml:space="preserve">разделу 2 договора купли-продажи земельного участка (Приложение № 3)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2.7. </w:t>
      </w:r>
      <w:r>
        <w:rPr>
          <w:rFonts w:ascii="Times New Roman" w:hAnsi="Times New Roman" w:cs="Times New Roman"/>
          <w:b/>
          <w:sz w:val="24"/>
          <w:szCs w:val="24"/>
        </w:rPr>
        <w:t xml:space="preserve"> Шаг аукциона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34 721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рубль.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2.8. Обеспечение участия в аукционе: заявитель вносит задаток в размере 347 210 (триста сорок семь тысяч двести десять) рублей 50 копеек.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2.9.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Размер платы Оператору электронной площадки за участие в аукционе, взимаемой с лица, признанного победителем аукциона (далее – Победитель), а также иных лиц, с которым договор аренды земельного участка закл</w:t>
      </w:r>
      <w:r>
        <w:rPr>
          <w:rFonts w:ascii="Times New Roman" w:hAnsi="Times New Roman" w:cs="Times New Roman"/>
          <w:sz w:val="24"/>
          <w:szCs w:val="24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Инструкции),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- вознаграждения за оказанные услуги).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2.10.  Место приема заявок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дка </w:t>
      </w:r>
      <w:hyperlink r:id="rId17" w:tooltip="http://www.fabrikant.ru" w:history="1">
        <w:r>
          <w:rPr>
            <w:rStyle w:val="890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2.11.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24.04.2026 в 15 час. 00 мин.* Прием Заявок осущ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ествляется круглосуточно.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2.12.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27.05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.2026 в 12 час. 00 мин.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2.13.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28.05.2026.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2.14.  Место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электронная площадка </w:t>
      </w:r>
      <w:hyperlink r:id="rId18" w:tooltip="http://www.fabrikant.ru" w:history="1">
        <w:r>
          <w:rPr>
            <w:rStyle w:val="890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2.15.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29.05.2026 в 10 час. 00 мин.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  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3.1.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19.03.2025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рганизатором торгов было размещено извещение о предоставлении земельного участка в соответствии с подпунктом 1 пункта 1 статьи 39.18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3.2.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</w:t>
      </w:r>
      <w:r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телекоммуникационной сети «Интернет» для размещения информации о проведении торгов по адресу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tooltip="http://www.torgi.gov.ru" w:history="1"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(далее – 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на электронной площадке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tooltip="http://www.fabrikant.ru" w:history="1"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3.3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</w:t>
      </w:r>
      <w:r>
        <w:rPr>
          <w:rFonts w:ascii="Times New Roman" w:hAnsi="Times New Roman" w:cs="Times New Roman"/>
          <w:sz w:val="24"/>
          <w:szCs w:val="24"/>
        </w:rPr>
        <w:t xml:space="preserve">ями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 xml:space="preserve">, Заявители</w:t>
      </w:r>
      <w:r>
        <w:rPr>
          <w:rFonts w:ascii="Times New Roman" w:hAnsi="Times New Roman" w:cs="Times New Roman"/>
          <w:sz w:val="24"/>
          <w:szCs w:val="24"/>
        </w:rPr>
        <w:t xml:space="preserve">) могут</w:t>
      </w:r>
      <w:r>
        <w:rPr>
          <w:rFonts w:ascii="Times New Roman" w:hAnsi="Times New Roman" w:cs="Times New Roman"/>
          <w:sz w:val="24"/>
          <w:szCs w:val="24"/>
        </w:rPr>
        <w:t xml:space="preserve"> быть </w:t>
      </w:r>
      <w:r>
        <w:rPr>
          <w:rFonts w:ascii="Times New Roman" w:hAnsi="Times New Roman" w:cs="Times New Roman"/>
          <w:sz w:val="24"/>
          <w:szCs w:val="24"/>
        </w:rPr>
        <w:t xml:space="preserve">ТОЛЬКО ГРАЖДАНЕ</w:t>
      </w:r>
      <w:r>
        <w:rPr>
          <w:rFonts w:ascii="Times New Roman" w:hAnsi="Times New Roman" w:cs="Times New Roman"/>
          <w:sz w:val="24"/>
          <w:szCs w:val="24"/>
        </w:rPr>
        <w:t xml:space="preserve">, имеющи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(далее - ЭП), и ПРОШЕДШИ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торгов (</w:t>
      </w:r>
      <w:hyperlink r:id="rId22" w:tooltip="http://www.torgi.gov.ru" w:history="1"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5" w:tooltip="http://www.fabrikant.ru" w:history="1"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о внесении задатка для участия в аукционе Заявитель</w:t>
      </w:r>
      <w:r>
        <w:rPr>
          <w:rFonts w:ascii="Times New Roman" w:hAnsi="Times New Roman" w:cs="Times New Roman"/>
          <w:sz w:val="24"/>
          <w:szCs w:val="24"/>
        </w:rPr>
        <w:t xml:space="preserve"> с учетом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Разделов 4,</w:t>
      </w:r>
      <w:r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Регламентом и Инструкциями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</w:t>
      </w:r>
      <w:r>
        <w:rPr>
          <w:rFonts w:ascii="Times New Roman" w:hAnsi="Times New Roman" w:cs="Times New Roman"/>
          <w:sz w:val="24"/>
          <w:szCs w:val="24"/>
        </w:rPr>
        <w:t xml:space="preserve">044525593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>
        <w:rPr>
          <w:rFonts w:ascii="Times New Roman" w:hAnsi="Times New Roman" w:cs="Times New Roman"/>
          <w:sz w:val="24"/>
          <w:szCs w:val="24"/>
        </w:rPr>
        <w:t xml:space="preserve">40702810301400020601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Корр. счёт </w:t>
      </w:r>
      <w:r>
        <w:rPr>
          <w:rFonts w:ascii="Times New Roman" w:hAnsi="Times New Roman" w:cs="Times New Roman"/>
          <w:sz w:val="24"/>
          <w:szCs w:val="24"/>
        </w:rPr>
        <w:t xml:space="preserve">30101810200000000593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 xml:space="preserve"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КПП </w:t>
      </w:r>
      <w:r>
        <w:rPr>
          <w:rFonts w:ascii="Times New Roman" w:hAnsi="Times New Roman" w:cs="Times New Roman"/>
          <w:sz w:val="24"/>
          <w:szCs w:val="24"/>
        </w:rPr>
        <w:t xml:space="preserve">770301001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 xml:space="preserve">Пополнение лицевого счета №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 xml:space="preserve">ние в разделе личного кабинета «</w:t>
      </w:r>
      <w:r>
        <w:rPr>
          <w:rFonts w:ascii="Times New Roman" w:hAnsi="Times New Roman" w:cs="Times New Roman"/>
          <w:sz w:val="24"/>
          <w:szCs w:val="24"/>
        </w:rPr>
        <w:t xml:space="preserve">Электронный кошелек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</w:t>
      </w:r>
      <w:r>
        <w:rPr>
          <w:rFonts w:ascii="Times New Roman" w:hAnsi="Times New Roman" w:cs="Times New Roman"/>
          <w:sz w:val="24"/>
          <w:szCs w:val="24"/>
        </w:rPr>
        <w:t xml:space="preserve">Электронн</w:t>
      </w:r>
      <w:r>
        <w:rPr>
          <w:rFonts w:ascii="Times New Roman" w:hAnsi="Times New Roman" w:cs="Times New Roman"/>
          <w:sz w:val="24"/>
          <w:szCs w:val="24"/>
        </w:rPr>
        <w:t xml:space="preserve">ому</w:t>
      </w:r>
      <w:r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 xml:space="preserve">ь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90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и их нельзя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>
        <w:rPr>
          <w:rFonts w:ascii="Times New Roman" w:hAnsi="Times New Roman" w:cs="Times New Roman"/>
          <w:sz w:val="24"/>
          <w:szCs w:val="24"/>
        </w:rPr>
        <w:t xml:space="preserve">Оператора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пункт 2.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</w:t>
      </w:r>
      <w:r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</w:t>
      </w:r>
      <w:r>
        <w:rPr>
          <w:rFonts w:ascii="Times New Roman" w:hAnsi="Times New Roman" w:cs="Times New Roman"/>
          <w:sz w:val="24"/>
          <w:szCs w:val="24"/>
        </w:rPr>
        <w:t xml:space="preserve">ляет</w:t>
      </w:r>
      <w:r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 xml:space="preserve">енежных средств осуществляется О</w:t>
      </w:r>
      <w:r>
        <w:rPr>
          <w:rFonts w:ascii="Times New Roman" w:hAnsi="Times New Roman" w:cs="Times New Roman"/>
          <w:sz w:val="24"/>
          <w:szCs w:val="24"/>
        </w:rPr>
        <w:t xml:space="preserve"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 xml:space="preserve">ны</w:t>
      </w:r>
      <w:r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6.9.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>
        <w:rPr>
          <w:rFonts w:ascii="Times New Roman" w:hAnsi="Times New Roman" w:cs="Times New Roman"/>
          <w:sz w:val="24"/>
          <w:szCs w:val="24"/>
        </w:rPr>
        <w:t xml:space="preserve">средств на лицевом счете лиц, участвующих в аукционе, но не победивших в нем, осуществляется после размещения на электронной торговой площадке П</w:t>
      </w:r>
      <w:r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</w:t>
      </w:r>
      <w:r>
        <w:rPr>
          <w:rFonts w:ascii="Times New Roman" w:hAnsi="Times New Roman" w:cs="Times New Roman"/>
          <w:sz w:val="24"/>
          <w:szCs w:val="24"/>
        </w:rPr>
        <w:t xml:space="preserve">, з</w:t>
      </w:r>
      <w:r>
        <w:rPr>
          <w:rFonts w:ascii="Times New Roman" w:hAnsi="Times New Roman" w:cs="Times New Roman"/>
          <w:sz w:val="24"/>
          <w:szCs w:val="24"/>
        </w:rPr>
        <w:t xml:space="preserve">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 xml:space="preserve">п.</w:t>
      </w:r>
      <w:r>
        <w:rPr>
          <w:rFonts w:ascii="Times New Roman" w:hAnsi="Times New Roman" w:cs="Times New Roman"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расчетов и условия взимания вознаграждения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7.1</w:t>
      </w:r>
      <w:r>
        <w:rPr>
          <w:rFonts w:ascii="Times New Roman" w:hAnsi="Times New Roman" w:cs="Times New Roman"/>
          <w:sz w:val="24"/>
          <w:szCs w:val="24"/>
        </w:rPr>
        <w:t xml:space="preserve">. В соответствии с Регламентом и Инструкциями установлено требование о взимании вознаграждения за оказанные услуги.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7.2. </w:t>
      </w:r>
      <w:r>
        <w:rPr>
          <w:rFonts w:ascii="Times New Roman" w:hAnsi="Times New Roman" w:cs="Times New Roman"/>
          <w:sz w:val="24"/>
          <w:szCs w:val="24"/>
        </w:rPr>
        <w:t xml:space="preserve">Участник, признанный в протоколе об итогах торгов Победителем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установленном в соответствии Регламентом, размещенном по адресу в информационно-телекоммуникационной сети «Интернет»: https://www.fabrikant.ru/rules/common?category-id=1716.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7.3</w:t>
      </w:r>
      <w:r>
        <w:rPr>
          <w:rFonts w:ascii="Times New Roman" w:hAnsi="Times New Roman" w:cs="Times New Roman"/>
          <w:sz w:val="24"/>
          <w:szCs w:val="24"/>
        </w:rPr>
        <w:t xml:space="preserve">. Размер платы определяется тарифами электронной площадки, утвержденными оператором и размещенными в открытой части электронной площадки по адресу: https://www.fabrikant.ru/personal/tariff/landing.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t xml:space="preserve">Рекомендуемое назначение платежа: Обеспечительный платеж для участия в торговой процедуре № (указать номер процедуры на электронной площадке и лот).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7.4.</w:t>
      </w:r>
      <w:r>
        <w:rPr>
          <w:rFonts w:ascii="Times New Roman" w:hAnsi="Times New Roman" w:cs="Times New Roman"/>
          <w:sz w:val="24"/>
          <w:szCs w:val="24"/>
        </w:rPr>
        <w:t xml:space="preserve"> Сумма обеспечительного платежа должна быть перечислена единым платежом.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</w:t>
      </w:r>
      <w:r>
        <w:rPr>
          <w:rFonts w:ascii="Times New Roman" w:hAnsi="Times New Roman" w:cs="Times New Roman"/>
          <w:sz w:val="24"/>
          <w:szCs w:val="24"/>
        </w:rPr>
        <w:t xml:space="preserve">теля, за которого внесен обеспечительный платеж.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7.5.</w:t>
      </w:r>
      <w:r>
        <w:rPr>
          <w:rFonts w:ascii="Times New Roman" w:hAnsi="Times New Roman" w:cs="Times New Roman"/>
          <w:sz w:val="24"/>
          <w:szCs w:val="24"/>
        </w:rPr>
        <w:t xml:space="preserve"> 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7.6.</w:t>
      </w:r>
      <w:r>
        <w:rPr>
          <w:rFonts w:ascii="Times New Roman" w:hAnsi="Times New Roman" w:cs="Times New Roman"/>
          <w:sz w:val="24"/>
          <w:szCs w:val="24"/>
        </w:rPr>
        <w:t xml:space="preserve"> После завершения процедуры, а также в случае отмены аукциона, отзыва Заявителем своей заявки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</w:t>
      </w:r>
      <w:r>
        <w:rPr>
          <w:rFonts w:ascii="Times New Roman" w:hAnsi="Times New Roman" w:cs="Times New Roman"/>
          <w:sz w:val="24"/>
          <w:szCs w:val="24"/>
        </w:rPr>
        <w:t xml:space="preserve">в счет исполнения его обязательства по оплате вознаграждения Оператору электронной площадки.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(https://www.fabrik</w:t>
      </w:r>
      <w:r>
        <w:rPr>
          <w:rFonts w:ascii="Times New Roman" w:hAnsi="Times New Roman" w:cs="Times New Roman"/>
          <w:sz w:val="24"/>
          <w:szCs w:val="24"/>
        </w:rPr>
        <w:t xml:space="preserve">ant.ru/), либо путем направления официального письма в адрес Оператора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Прием З</w:t>
      </w:r>
      <w:r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,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 xml:space="preserve">копии разворотов паспорта с фотографией и пропиской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документы, подтверждающие внесение задатка.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аявителя.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</w:t>
      </w:r>
      <w:r>
        <w:rPr>
          <w:rFonts w:ascii="Times New Roman" w:hAnsi="Times New Roman" w:cs="Times New Roman"/>
          <w:sz w:val="24"/>
          <w:szCs w:val="24"/>
        </w:rPr>
        <w:t xml:space="preserve">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 xml:space="preserve">и окончания срока приема Заявок;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>
        <w:rPr>
          <w:rFonts w:ascii="Times New Roman" w:hAnsi="Times New Roman" w:cs="Times New Roman"/>
          <w:sz w:val="24"/>
          <w:szCs w:val="24"/>
        </w:rPr>
        <w:t xml:space="preserve">уведомление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>
        <w:rPr>
          <w:rFonts w:ascii="Times New Roman" w:hAnsi="Times New Roman" w:cs="Times New Roman"/>
          <w:sz w:val="24"/>
          <w:szCs w:val="24"/>
        </w:rPr>
        <w:t xml:space="preserve"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3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93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аявок на участие в аукционе;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93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подача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93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Заявителям, </w:t>
      </w:r>
      <w:r>
        <w:rPr>
          <w:rFonts w:ascii="Times New Roman" w:hAnsi="Times New Roman" w:cs="Times New Roman"/>
          <w:sz w:val="24"/>
          <w:szCs w:val="24"/>
        </w:rPr>
        <w:t xml:space="preserve"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>
        <w:rPr>
          <w:rFonts w:ascii="Times New Roman" w:hAnsi="Times New Roman" w:cs="Times New Roman"/>
          <w:sz w:val="24"/>
          <w:szCs w:val="24"/>
        </w:rPr>
        <w:t xml:space="preserve"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0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проведения аукциона</w:t>
      </w:r>
      <w:r>
        <w:t xml:space="preserve">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</w:t>
      </w:r>
      <w:r>
        <w:rPr>
          <w:rFonts w:ascii="Times New Roman" w:hAnsi="Times New Roman" w:cs="Times New Roman"/>
          <w:sz w:val="24"/>
          <w:szCs w:val="24"/>
        </w:rPr>
        <w:t xml:space="preserve">на «шаг аукциона», установленный</w:t>
      </w:r>
      <w:r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 xml:space="preserve">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.6.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 xml:space="preserve">ета аукциона продлевается на 10 </w:t>
      </w:r>
      <w:r>
        <w:rPr>
          <w:rFonts w:ascii="Times New Roman" w:hAnsi="Times New Roman" w:cs="Times New Roman"/>
          <w:sz w:val="24"/>
          <w:szCs w:val="24"/>
        </w:rPr>
        <w:t xml:space="preserve">(десять) минут.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.7.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.8.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.9.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 xml:space="preserve">ганизатору аукциона в течение 1 </w:t>
      </w:r>
      <w:r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 xml:space="preserve">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.10.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не подано ни одной Заявки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купли-продажи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 3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>
        <w:rPr>
          <w:rFonts w:ascii="Times New Roman" w:hAnsi="Times New Roman" w:cs="Times New Roman"/>
          <w:sz w:val="24"/>
          <w:szCs w:val="24"/>
        </w:rPr>
        <w:t xml:space="preserve"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7" w:tooltip="https://www.fabrikant.ru/rules/common?category-id=1705" w:history="1">
        <w:r>
          <w:rPr>
            <w:rStyle w:val="890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 xml:space="preserve">лючение договора купли-продажи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ранее</w:t>
      </w:r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 xml:space="preserve">признан</w:t>
      </w:r>
      <w:r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 xml:space="preserve">пунктом 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.3 Извещения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.7.  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обедитель аукциона или иное лицо, с которым заключается договор купли-продажи земельного участка в соответствии с пунктами 13, 14 или 20 ст.39.12 Земельного кодекса Российской Федерации, обязаны подписать договор купли-продажи земельного участка в течение </w:t>
      </w:r>
      <w:r>
        <w:rPr>
          <w:rFonts w:ascii="Times New Roman" w:hAnsi="Times New Roman" w:cs="Times New Roman"/>
          <w:sz w:val="24"/>
          <w:szCs w:val="24"/>
        </w:rPr>
        <w:t xml:space="preserve">10 (десяти) рабочих 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.8.  </w:t>
      </w:r>
      <w:r>
        <w:rPr>
          <w:rFonts w:ascii="Times New Roman" w:hAnsi="Times New Roman" w:cs="Times New Roman"/>
          <w:sz w:val="24"/>
          <w:szCs w:val="24"/>
        </w:rPr>
        <w:t xml:space="preserve">Если договор купли-продажи земельного участка в течение </w:t>
      </w:r>
      <w:r>
        <w:rPr>
          <w:rFonts w:ascii="Times New Roman" w:hAnsi="Times New Roman" w:cs="Times New Roman"/>
          <w:sz w:val="24"/>
          <w:szCs w:val="24"/>
        </w:rPr>
        <w:t xml:space="preserve">10 (десяти) 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проекта договора купли-продажи земельного участка победителю аукциона не был им подписан в разделе Личный кабинет «Реестр договоров», 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указанный договор Участнику аукциона, который сделал предпоследнее предложение </w:t>
      </w:r>
      <w:r>
        <w:rPr>
          <w:rFonts w:ascii="Times New Roman" w:hAnsi="Times New Roman" w:cs="Times New Roman"/>
          <w:sz w:val="24"/>
          <w:szCs w:val="24"/>
        </w:rPr>
        <w:t xml:space="preserve">о цене предмета аукциона, для его</w:t>
      </w:r>
      <w:r>
        <w:rPr>
          <w:rFonts w:ascii="Times New Roman" w:hAnsi="Times New Roman" w:cs="Times New Roman"/>
          <w:sz w:val="24"/>
          <w:szCs w:val="24"/>
        </w:rPr>
        <w:t xml:space="preserve"> заключения</w:t>
      </w:r>
      <w:r>
        <w:rPr>
          <w:rFonts w:ascii="Times New Roman" w:hAnsi="Times New Roman" w:cs="Times New Roman"/>
          <w:sz w:val="24"/>
          <w:szCs w:val="24"/>
        </w:rPr>
        <w:t xml:space="preserve">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</w:t>
      </w:r>
      <w:r>
        <w:rPr>
          <w:rFonts w:ascii="Times New Roman" w:hAnsi="Times New Roman" w:cs="Times New Roman"/>
          <w:sz w:val="24"/>
          <w:szCs w:val="24"/>
        </w:rPr>
        <w:t xml:space="preserve">10 (десяти) 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в раздел Личный кабинет «Реестр договоров» Участнику, который сделал предпоследнее предложение о цене Предмета аукциона, проекта договора купли-продажи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.10.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купли-продажи земельного участка в соответствии с пунктами 13, 14</w:t>
      </w:r>
      <w:r>
        <w:rPr>
          <w:rFonts w:ascii="Times New Roman" w:hAnsi="Times New Roman" w:cs="Times New Roman"/>
          <w:sz w:val="24"/>
          <w:szCs w:val="24"/>
        </w:rPr>
        <w:t xml:space="preserve">, 20 или 25</w:t>
      </w:r>
      <w:r>
        <w:rPr>
          <w:rFonts w:ascii="Times New Roman" w:hAnsi="Times New Roman" w:cs="Times New Roman"/>
          <w:sz w:val="24"/>
          <w:szCs w:val="24"/>
        </w:rPr>
        <w:t xml:space="preserve"> ст.39.12 Земельного кодекса Российской Федерации, в течение </w:t>
      </w:r>
      <w:r>
        <w:rPr>
          <w:rFonts w:ascii="Times New Roman" w:hAnsi="Times New Roman" w:cs="Times New Roman"/>
          <w:sz w:val="24"/>
          <w:szCs w:val="24"/>
        </w:rPr>
        <w:t xml:space="preserve">10 (десяти) 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ему Организатором в раздел Личный кабинет «Реестр договоров» проекта указанного договора купли-продажи, не подписал указанный договор, Организатор аукциона направляет сведения</w:t>
      </w:r>
      <w:r>
        <w:rPr>
          <w:rFonts w:ascii="Times New Roman" w:hAnsi="Times New Roman" w:cs="Times New Roman"/>
          <w:sz w:val="24"/>
          <w:szCs w:val="24"/>
        </w:rPr>
        <w:t xml:space="preserve">, предусмотр</w:t>
      </w:r>
      <w:r>
        <w:rPr>
          <w:rFonts w:ascii="Times New Roman" w:hAnsi="Times New Roman" w:cs="Times New Roman"/>
          <w:sz w:val="24"/>
          <w:szCs w:val="24"/>
        </w:rPr>
        <w:t xml:space="preserve">енные п.29 ст.39.12 Земельного к</w:t>
      </w:r>
      <w:r>
        <w:rPr>
          <w:rFonts w:ascii="Times New Roman" w:hAnsi="Times New Roman" w:cs="Times New Roman"/>
          <w:sz w:val="24"/>
          <w:szCs w:val="24"/>
        </w:rPr>
        <w:t xml:space="preserve">одекса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службу России для включения в реестр недобросовестных участников аукциона.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0"/>
        <w:jc w:val="both"/>
        <w:spacing w:after="0" w:line="360" w:lineRule="exact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567" w:right="707" w:bottom="426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85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8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 w:default="1">
    <w:name w:val="Normal"/>
    <w:qFormat/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character" w:styleId="703" w:customStyle="1">
    <w:name w:val="Title Char"/>
    <w:basedOn w:val="700"/>
    <w:link w:val="728"/>
    <w:uiPriority w:val="10"/>
    <w:rPr>
      <w:sz w:val="48"/>
      <w:szCs w:val="48"/>
    </w:rPr>
  </w:style>
  <w:style w:type="character" w:styleId="704" w:customStyle="1">
    <w:name w:val="Subtitle Char"/>
    <w:basedOn w:val="700"/>
    <w:link w:val="730"/>
    <w:uiPriority w:val="11"/>
    <w:rPr>
      <w:sz w:val="24"/>
      <w:szCs w:val="24"/>
    </w:rPr>
  </w:style>
  <w:style w:type="character" w:styleId="705" w:customStyle="1">
    <w:name w:val="Quote Char"/>
    <w:link w:val="732"/>
    <w:uiPriority w:val="29"/>
    <w:rPr>
      <w:i/>
    </w:rPr>
  </w:style>
  <w:style w:type="character" w:styleId="706" w:customStyle="1">
    <w:name w:val="Intense Quote Char"/>
    <w:link w:val="734"/>
    <w:uiPriority w:val="30"/>
    <w:rPr>
      <w:i/>
    </w:rPr>
  </w:style>
  <w:style w:type="character" w:styleId="707" w:customStyle="1">
    <w:name w:val="Footnote Text Char"/>
    <w:link w:val="866"/>
    <w:uiPriority w:val="99"/>
    <w:rPr>
      <w:sz w:val="18"/>
    </w:rPr>
  </w:style>
  <w:style w:type="character" w:styleId="708" w:customStyle="1">
    <w:name w:val="Endnote Text Char"/>
    <w:link w:val="869"/>
    <w:uiPriority w:val="99"/>
    <w:rPr>
      <w:sz w:val="20"/>
    </w:rPr>
  </w:style>
  <w:style w:type="paragraph" w:styleId="709" w:customStyle="1">
    <w:name w:val="Heading 1"/>
    <w:basedOn w:val="699"/>
    <w:next w:val="699"/>
    <w:link w:val="71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10" w:customStyle="1">
    <w:name w:val="Heading 1 Char"/>
    <w:basedOn w:val="700"/>
    <w:link w:val="709"/>
    <w:uiPriority w:val="9"/>
    <w:rPr>
      <w:rFonts w:ascii="Arial" w:hAnsi="Arial" w:eastAsia="Arial" w:cs="Arial"/>
      <w:sz w:val="40"/>
      <w:szCs w:val="40"/>
    </w:rPr>
  </w:style>
  <w:style w:type="paragraph" w:styleId="711" w:customStyle="1">
    <w:name w:val="Heading 2"/>
    <w:basedOn w:val="699"/>
    <w:next w:val="699"/>
    <w:link w:val="712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12" w:customStyle="1">
    <w:name w:val="Heading 2 Char"/>
    <w:basedOn w:val="700"/>
    <w:link w:val="711"/>
    <w:uiPriority w:val="9"/>
    <w:rPr>
      <w:rFonts w:ascii="Arial" w:hAnsi="Arial" w:eastAsia="Arial" w:cs="Arial"/>
      <w:sz w:val="34"/>
    </w:rPr>
  </w:style>
  <w:style w:type="paragraph" w:styleId="713" w:customStyle="1">
    <w:name w:val="Heading 3"/>
    <w:basedOn w:val="699"/>
    <w:next w:val="699"/>
    <w:link w:val="714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14" w:customStyle="1">
    <w:name w:val="Heading 3 Char"/>
    <w:basedOn w:val="700"/>
    <w:link w:val="713"/>
    <w:uiPriority w:val="9"/>
    <w:rPr>
      <w:rFonts w:ascii="Arial" w:hAnsi="Arial" w:eastAsia="Arial" w:cs="Arial"/>
      <w:sz w:val="30"/>
      <w:szCs w:val="30"/>
    </w:rPr>
  </w:style>
  <w:style w:type="paragraph" w:styleId="715" w:customStyle="1">
    <w:name w:val="Heading 4"/>
    <w:basedOn w:val="699"/>
    <w:next w:val="699"/>
    <w:link w:val="71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 w:customStyle="1">
    <w:name w:val="Heading 4 Char"/>
    <w:basedOn w:val="700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 w:customStyle="1">
    <w:name w:val="Heading 5"/>
    <w:basedOn w:val="699"/>
    <w:next w:val="699"/>
    <w:link w:val="71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 w:customStyle="1">
    <w:name w:val="Heading 5 Char"/>
    <w:basedOn w:val="700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 w:customStyle="1">
    <w:name w:val="Heading 6"/>
    <w:basedOn w:val="699"/>
    <w:next w:val="699"/>
    <w:link w:val="72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20" w:customStyle="1">
    <w:name w:val="Heading 6 Char"/>
    <w:basedOn w:val="700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 w:customStyle="1">
    <w:name w:val="Heading 7"/>
    <w:basedOn w:val="699"/>
    <w:next w:val="699"/>
    <w:link w:val="72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22" w:customStyle="1">
    <w:name w:val="Heading 7 Char"/>
    <w:basedOn w:val="700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 w:customStyle="1">
    <w:name w:val="Heading 8"/>
    <w:basedOn w:val="699"/>
    <w:next w:val="699"/>
    <w:link w:val="72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24" w:customStyle="1">
    <w:name w:val="Heading 8 Char"/>
    <w:basedOn w:val="700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 w:customStyle="1">
    <w:name w:val="Heading 9"/>
    <w:basedOn w:val="699"/>
    <w:next w:val="699"/>
    <w:link w:val="72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 w:customStyle="1">
    <w:name w:val="Heading 9 Char"/>
    <w:basedOn w:val="700"/>
    <w:link w:val="725"/>
    <w:uiPriority w:val="9"/>
    <w:rPr>
      <w:rFonts w:ascii="Arial" w:hAnsi="Arial" w:eastAsia="Arial" w:cs="Arial"/>
      <w:i/>
      <w:iCs/>
      <w:sz w:val="21"/>
      <w:szCs w:val="21"/>
    </w:rPr>
  </w:style>
  <w:style w:type="paragraph" w:styleId="727">
    <w:name w:val="No Spacing"/>
    <w:uiPriority w:val="1"/>
    <w:qFormat/>
    <w:pPr>
      <w:spacing w:after="0" w:line="240" w:lineRule="auto"/>
    </w:pPr>
  </w:style>
  <w:style w:type="paragraph" w:styleId="728">
    <w:name w:val="Title"/>
    <w:basedOn w:val="699"/>
    <w:next w:val="699"/>
    <w:link w:val="729"/>
    <w:uiPriority w:val="10"/>
    <w:qFormat/>
    <w:pPr>
      <w:contextualSpacing/>
      <w:spacing w:before="300"/>
    </w:pPr>
    <w:rPr>
      <w:sz w:val="48"/>
      <w:szCs w:val="48"/>
    </w:rPr>
  </w:style>
  <w:style w:type="character" w:styleId="729" w:customStyle="1">
    <w:name w:val="Название Знак"/>
    <w:basedOn w:val="700"/>
    <w:link w:val="728"/>
    <w:uiPriority w:val="10"/>
    <w:rPr>
      <w:sz w:val="48"/>
      <w:szCs w:val="48"/>
    </w:rPr>
  </w:style>
  <w:style w:type="paragraph" w:styleId="730">
    <w:name w:val="Subtitle"/>
    <w:basedOn w:val="699"/>
    <w:next w:val="699"/>
    <w:link w:val="731"/>
    <w:uiPriority w:val="11"/>
    <w:qFormat/>
    <w:pPr>
      <w:spacing w:before="200"/>
    </w:pPr>
    <w:rPr>
      <w:sz w:val="24"/>
      <w:szCs w:val="24"/>
    </w:rPr>
  </w:style>
  <w:style w:type="character" w:styleId="731" w:customStyle="1">
    <w:name w:val="Подзаголовок Знак"/>
    <w:basedOn w:val="700"/>
    <w:link w:val="730"/>
    <w:uiPriority w:val="11"/>
    <w:rPr>
      <w:sz w:val="24"/>
      <w:szCs w:val="24"/>
    </w:rPr>
  </w:style>
  <w:style w:type="paragraph" w:styleId="732">
    <w:name w:val="Quote"/>
    <w:basedOn w:val="699"/>
    <w:next w:val="699"/>
    <w:link w:val="733"/>
    <w:uiPriority w:val="29"/>
    <w:qFormat/>
    <w:pPr>
      <w:ind w:left="720" w:right="720"/>
    </w:pPr>
    <w:rPr>
      <w:i/>
    </w:rPr>
  </w:style>
  <w:style w:type="character" w:styleId="733" w:customStyle="1">
    <w:name w:val="Цитата 2 Знак"/>
    <w:link w:val="732"/>
    <w:uiPriority w:val="29"/>
    <w:rPr>
      <w:i/>
    </w:rPr>
  </w:style>
  <w:style w:type="paragraph" w:styleId="734">
    <w:name w:val="Intense Quote"/>
    <w:basedOn w:val="699"/>
    <w:next w:val="699"/>
    <w:link w:val="73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 w:customStyle="1">
    <w:name w:val="Выделенная цитата Знак"/>
    <w:link w:val="734"/>
    <w:uiPriority w:val="30"/>
    <w:rPr>
      <w:i/>
    </w:rPr>
  </w:style>
  <w:style w:type="character" w:styleId="736" w:customStyle="1">
    <w:name w:val="Header Char"/>
    <w:basedOn w:val="700"/>
    <w:link w:val="885"/>
    <w:uiPriority w:val="99"/>
  </w:style>
  <w:style w:type="character" w:styleId="737" w:customStyle="1">
    <w:name w:val="Footer Char"/>
    <w:basedOn w:val="700"/>
    <w:link w:val="887"/>
    <w:uiPriority w:val="99"/>
  </w:style>
  <w:style w:type="paragraph" w:styleId="738" w:customStyle="1">
    <w:name w:val="Caption"/>
    <w:basedOn w:val="699"/>
    <w:next w:val="699"/>
    <w:link w:val="73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9" w:customStyle="1">
    <w:name w:val="Caption Char"/>
    <w:basedOn w:val="700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70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 w:customStyle="1">
    <w:name w:val="Table Grid Light"/>
    <w:basedOn w:val="70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 w:customStyle="1">
    <w:name w:val="Plain Table 1"/>
    <w:basedOn w:val="70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 w:customStyle="1">
    <w:name w:val="Plain Table 2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 w:customStyle="1">
    <w:name w:val="Plain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 w:customStyle="1">
    <w:name w:val="Plain Table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Plain Table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1 Light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4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 w:customStyle="1">
    <w:name w:val="Grid Table 4 - Accent 1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0" w:customStyle="1">
    <w:name w:val="Grid Table 4 - Accent 2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1" w:customStyle="1">
    <w:name w:val="Grid Table 4 - Accent 3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2" w:customStyle="1">
    <w:name w:val="Grid Table 4 - Accent 4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3" w:customStyle="1">
    <w:name w:val="Grid Table 4 - Accent 5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4" w:customStyle="1">
    <w:name w:val="Grid Table 4 - Accent 6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5" w:customStyle="1">
    <w:name w:val="Grid Table 5 Dark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6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3" w:customStyle="1">
    <w:name w:val="Grid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4" w:customStyle="1">
    <w:name w:val="Grid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5" w:customStyle="1">
    <w:name w:val="Grid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6" w:customStyle="1">
    <w:name w:val="Grid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7" w:customStyle="1">
    <w:name w:val="Grid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8" w:customStyle="1">
    <w:name w:val="Grid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9" w:customStyle="1">
    <w:name w:val="Grid Table 7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0" w:customStyle="1">
    <w:name w:val="List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5 Dark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6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2" w:customStyle="1">
    <w:name w:val="List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3" w:customStyle="1">
    <w:name w:val="List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4" w:customStyle="1">
    <w:name w:val="List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5" w:customStyle="1">
    <w:name w:val="List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6" w:customStyle="1">
    <w:name w:val="List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7" w:customStyle="1">
    <w:name w:val="List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8" w:customStyle="1">
    <w:name w:val="List Table 7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ned - Accent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6" w:customStyle="1">
    <w:name w:val="Lined - Accent 1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7" w:customStyle="1">
    <w:name w:val="Lined - Accent 2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8" w:customStyle="1">
    <w:name w:val="Lined - Accent 3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9" w:customStyle="1">
    <w:name w:val="Lined - Accent 4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0" w:customStyle="1">
    <w:name w:val="Lined - Accent 5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1" w:customStyle="1">
    <w:name w:val="Lined - Accent 6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2" w:customStyle="1">
    <w:name w:val="Bordered &amp; Lined - Accent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3" w:customStyle="1">
    <w:name w:val="Bordered &amp; Lined - Accent 1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4" w:customStyle="1">
    <w:name w:val="Bordered &amp; Lined - Accent 2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5" w:customStyle="1">
    <w:name w:val="Bordered &amp; Lined - Accent 3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6" w:customStyle="1">
    <w:name w:val="Bordered &amp; Lined - Accent 4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7" w:customStyle="1">
    <w:name w:val="Bordered &amp; Lined - Accent 5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8" w:customStyle="1">
    <w:name w:val="Bordered &amp; Lined - Accent 6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9" w:customStyle="1">
    <w:name w:val="Bordered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0" w:customStyle="1">
    <w:name w:val="Bordered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1" w:customStyle="1">
    <w:name w:val="Bordered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2" w:customStyle="1">
    <w:name w:val="Bordered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3" w:customStyle="1">
    <w:name w:val="Bordered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4" w:customStyle="1">
    <w:name w:val="Bordered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5" w:customStyle="1">
    <w:name w:val="Bordered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6">
    <w:name w:val="footnote text"/>
    <w:basedOn w:val="699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 w:customStyle="1">
    <w:name w:val="Текст сноски Знак"/>
    <w:link w:val="866"/>
    <w:uiPriority w:val="99"/>
    <w:rPr>
      <w:sz w:val="18"/>
    </w:rPr>
  </w:style>
  <w:style w:type="character" w:styleId="868">
    <w:name w:val="footnote reference"/>
    <w:basedOn w:val="700"/>
    <w:uiPriority w:val="99"/>
    <w:unhideWhenUsed/>
    <w:rPr>
      <w:vertAlign w:val="superscript"/>
    </w:rPr>
  </w:style>
  <w:style w:type="paragraph" w:styleId="869">
    <w:name w:val="endnote text"/>
    <w:basedOn w:val="699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 w:customStyle="1">
    <w:name w:val="Текст концевой сноски Знак"/>
    <w:link w:val="869"/>
    <w:uiPriority w:val="99"/>
    <w:rPr>
      <w:sz w:val="20"/>
    </w:rPr>
  </w:style>
  <w:style w:type="character" w:styleId="871">
    <w:name w:val="endnote reference"/>
    <w:basedOn w:val="700"/>
    <w:uiPriority w:val="99"/>
    <w:semiHidden/>
    <w:unhideWhenUsed/>
    <w:rPr>
      <w:vertAlign w:val="superscript"/>
    </w:rPr>
  </w:style>
  <w:style w:type="paragraph" w:styleId="872">
    <w:name w:val="toc 1"/>
    <w:basedOn w:val="699"/>
    <w:next w:val="699"/>
    <w:uiPriority w:val="39"/>
    <w:unhideWhenUsed/>
    <w:pPr>
      <w:spacing w:after="57"/>
    </w:pPr>
  </w:style>
  <w:style w:type="paragraph" w:styleId="873">
    <w:name w:val="toc 2"/>
    <w:basedOn w:val="699"/>
    <w:next w:val="699"/>
    <w:uiPriority w:val="39"/>
    <w:unhideWhenUsed/>
    <w:pPr>
      <w:ind w:left="283"/>
      <w:spacing w:after="57"/>
    </w:pPr>
  </w:style>
  <w:style w:type="paragraph" w:styleId="874">
    <w:name w:val="toc 3"/>
    <w:basedOn w:val="699"/>
    <w:next w:val="699"/>
    <w:uiPriority w:val="39"/>
    <w:unhideWhenUsed/>
    <w:pPr>
      <w:ind w:left="567"/>
      <w:spacing w:after="57"/>
    </w:pPr>
  </w:style>
  <w:style w:type="paragraph" w:styleId="875">
    <w:name w:val="toc 4"/>
    <w:basedOn w:val="699"/>
    <w:next w:val="699"/>
    <w:uiPriority w:val="39"/>
    <w:unhideWhenUsed/>
    <w:pPr>
      <w:ind w:left="850"/>
      <w:spacing w:after="57"/>
    </w:pPr>
  </w:style>
  <w:style w:type="paragraph" w:styleId="876">
    <w:name w:val="toc 5"/>
    <w:basedOn w:val="699"/>
    <w:next w:val="699"/>
    <w:uiPriority w:val="39"/>
    <w:unhideWhenUsed/>
    <w:pPr>
      <w:ind w:left="1134"/>
      <w:spacing w:after="57"/>
    </w:pPr>
  </w:style>
  <w:style w:type="paragraph" w:styleId="877">
    <w:name w:val="toc 6"/>
    <w:basedOn w:val="699"/>
    <w:next w:val="699"/>
    <w:uiPriority w:val="39"/>
    <w:unhideWhenUsed/>
    <w:pPr>
      <w:ind w:left="1417"/>
      <w:spacing w:after="57"/>
    </w:pPr>
  </w:style>
  <w:style w:type="paragraph" w:styleId="878">
    <w:name w:val="toc 7"/>
    <w:basedOn w:val="699"/>
    <w:next w:val="699"/>
    <w:uiPriority w:val="39"/>
    <w:unhideWhenUsed/>
    <w:pPr>
      <w:ind w:left="1701"/>
      <w:spacing w:after="57"/>
    </w:pPr>
  </w:style>
  <w:style w:type="paragraph" w:styleId="879">
    <w:name w:val="toc 8"/>
    <w:basedOn w:val="699"/>
    <w:next w:val="699"/>
    <w:uiPriority w:val="39"/>
    <w:unhideWhenUsed/>
    <w:pPr>
      <w:ind w:left="1984"/>
      <w:spacing w:after="57"/>
    </w:pPr>
  </w:style>
  <w:style w:type="paragraph" w:styleId="880">
    <w:name w:val="toc 9"/>
    <w:basedOn w:val="699"/>
    <w:next w:val="699"/>
    <w:uiPriority w:val="39"/>
    <w:unhideWhenUsed/>
    <w:pPr>
      <w:ind w:left="2268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699"/>
    <w:next w:val="699"/>
    <w:uiPriority w:val="99"/>
    <w:unhideWhenUsed/>
    <w:pPr>
      <w:spacing w:after="0"/>
    </w:pPr>
  </w:style>
  <w:style w:type="paragraph" w:styleId="883">
    <w:name w:val="Body Text 3"/>
    <w:basedOn w:val="699"/>
    <w:link w:val="884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84" w:customStyle="1">
    <w:name w:val="Основной текст 3 Знак"/>
    <w:basedOn w:val="700"/>
    <w:link w:val="883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85" w:customStyle="1">
    <w:name w:val="Header"/>
    <w:basedOn w:val="699"/>
    <w:link w:val="88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6" w:customStyle="1">
    <w:name w:val="Верхний колонтитул Знак"/>
    <w:basedOn w:val="700"/>
    <w:link w:val="885"/>
    <w:uiPriority w:val="99"/>
  </w:style>
  <w:style w:type="paragraph" w:styleId="887" w:customStyle="1">
    <w:name w:val="Footer"/>
    <w:basedOn w:val="699"/>
    <w:link w:val="888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8" w:customStyle="1">
    <w:name w:val="Нижний колонтитул Знак"/>
    <w:basedOn w:val="700"/>
    <w:link w:val="887"/>
    <w:uiPriority w:val="99"/>
    <w:semiHidden/>
  </w:style>
  <w:style w:type="paragraph" w:styleId="889">
    <w:name w:val="List Paragraph"/>
    <w:basedOn w:val="699"/>
    <w:uiPriority w:val="34"/>
    <w:qFormat/>
    <w:pPr>
      <w:contextualSpacing/>
      <w:ind w:left="720"/>
    </w:pPr>
  </w:style>
  <w:style w:type="character" w:styleId="890">
    <w:name w:val="Hyperlink"/>
    <w:basedOn w:val="700"/>
    <w:uiPriority w:val="99"/>
    <w:unhideWhenUsed/>
    <w:rPr>
      <w:color w:val="0000ff" w:themeColor="hyperlink"/>
      <w:u w:val="single"/>
    </w:rPr>
  </w:style>
  <w:style w:type="paragraph" w:styleId="891">
    <w:name w:val="Body Text 2"/>
    <w:basedOn w:val="699"/>
    <w:link w:val="892"/>
    <w:uiPriority w:val="99"/>
    <w:semiHidden/>
    <w:unhideWhenUsed/>
    <w:pPr>
      <w:spacing w:after="120" w:line="480" w:lineRule="auto"/>
    </w:pPr>
  </w:style>
  <w:style w:type="character" w:styleId="892" w:customStyle="1">
    <w:name w:val="Основной текст 2 Знак"/>
    <w:basedOn w:val="700"/>
    <w:link w:val="891"/>
    <w:uiPriority w:val="99"/>
    <w:semiHidden/>
  </w:style>
  <w:style w:type="paragraph" w:styleId="893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94" w:customStyle="1">
    <w:name w:val="Date_num"/>
    <w:basedOn w:val="700"/>
  </w:style>
  <w:style w:type="character" w:styleId="895" w:customStyle="1">
    <w:name w:val="Unresolved Mention"/>
    <w:basedOn w:val="700"/>
    <w:uiPriority w:val="99"/>
    <w:semiHidden/>
    <w:unhideWhenUsed/>
    <w:rPr>
      <w:color w:val="605e5c"/>
      <w:shd w:val="clear" w:color="auto" w:fill="e1dfdd"/>
    </w:rPr>
  </w:style>
  <w:style w:type="paragraph" w:styleId="896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97">
    <w:name w:val="Body Text Indent 2"/>
    <w:basedOn w:val="699"/>
    <w:link w:val="898"/>
    <w:uiPriority w:val="99"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98" w:customStyle="1">
    <w:name w:val="Основной текст с отступом 2 Знак"/>
    <w:basedOn w:val="700"/>
    <w:link w:val="897"/>
    <w:uiPriority w:val="99"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99">
    <w:name w:val="Balloon Text"/>
    <w:basedOn w:val="699"/>
    <w:link w:val="90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00" w:customStyle="1">
    <w:name w:val="Текст выноски Знак"/>
    <w:basedOn w:val="700"/>
    <w:link w:val="899"/>
    <w:uiPriority w:val="99"/>
    <w:semiHidden/>
    <w:rPr>
      <w:rFonts w:ascii="Tahoma" w:hAnsi="Tahoma" w:cs="Tahoma"/>
      <w:sz w:val="16"/>
      <w:szCs w:val="16"/>
    </w:rPr>
  </w:style>
  <w:style w:type="paragraph" w:styleId="901" w:customStyle="1">
    <w:name w:val="rezul"/>
    <w:basedOn w:val="699"/>
    <w:pPr>
      <w:ind w:firstLine="283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b/>
      <w:szCs w:val="20"/>
      <w:lang w:val="en-US"/>
    </w:rPr>
  </w:style>
  <w:style w:type="character" w:styleId="902" w:customStyle="1">
    <w:name w:val="docdata"/>
    <w:basedOn w:val="700"/>
  </w:style>
  <w:style w:type="paragraph" w:styleId="903">
    <w:name w:val="Normal (Web)"/>
    <w:basedOn w:val="69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F54D4-236C-4765-97A3-D48887A0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l.sozonova@ADMGOR.NN</cp:lastModifiedBy>
  <cp:revision>58</cp:revision>
  <dcterms:created xsi:type="dcterms:W3CDTF">2025-03-27T14:30:00Z</dcterms:created>
  <dcterms:modified xsi:type="dcterms:W3CDTF">2026-04-24T08:11:41Z</dcterms:modified>
</cp:coreProperties>
</file>