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1" w:rsidRDefault="00075B4C">
      <w:pPr>
        <w:tabs>
          <w:tab w:val="left" w:pos="1560"/>
          <w:tab w:val="left" w:pos="14601"/>
        </w:tabs>
        <w:jc w:val="center"/>
        <w:rPr>
          <w:b/>
        </w:rPr>
      </w:pPr>
      <w:r>
        <w:rPr>
          <w:b/>
        </w:rPr>
        <w:t xml:space="preserve">КОМИТЕТ ПО УПРАВЛЕНИЮ ГОРОДСКИМ ИМУЩЕСТВОМ И ЗЕМЕЛЬНЫМИ РЕСУРСАМИ </w:t>
      </w:r>
    </w:p>
    <w:p w:rsidR="00EA3D71" w:rsidRDefault="00075B4C">
      <w:pPr>
        <w:tabs>
          <w:tab w:val="left" w:pos="1560"/>
          <w:tab w:val="left" w:pos="14601"/>
        </w:tabs>
        <w:jc w:val="center"/>
        <w:rPr>
          <w:b/>
        </w:rPr>
      </w:pPr>
      <w:r>
        <w:rPr>
          <w:b/>
        </w:rPr>
        <w:t>АДМИНИСТРАЦИИ ГОРОДА НИЖНЕГО НОВГОРОДА</w:t>
      </w:r>
    </w:p>
    <w:p w:rsidR="00EA3D71" w:rsidRDefault="00075B4C">
      <w:pPr>
        <w:tabs>
          <w:tab w:val="left" w:pos="1560"/>
          <w:tab w:val="left" w:pos="14601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ИНФОРМАЦИОННОЕ СООБЩЕНИЕ </w:t>
      </w:r>
      <w:r w:rsidR="00A20735">
        <w:rPr>
          <w:b/>
          <w:sz w:val="26"/>
          <w:szCs w:val="26"/>
        </w:rPr>
        <w:t xml:space="preserve">№ </w:t>
      </w:r>
      <w:r w:rsidR="00687A59">
        <w:rPr>
          <w:b/>
          <w:sz w:val="26"/>
          <w:szCs w:val="26"/>
        </w:rPr>
        <w:t>0</w:t>
      </w:r>
      <w:r w:rsidR="00535D9A">
        <w:rPr>
          <w:b/>
          <w:sz w:val="26"/>
          <w:szCs w:val="26"/>
        </w:rPr>
        <w:t>2</w:t>
      </w:r>
      <w:r w:rsidR="00687A59">
        <w:rPr>
          <w:b/>
          <w:sz w:val="26"/>
          <w:szCs w:val="26"/>
        </w:rPr>
        <w:t>-П/2026</w:t>
      </w:r>
    </w:p>
    <w:p w:rsidR="00EA3D71" w:rsidRDefault="00075B4C">
      <w:pPr>
        <w:tabs>
          <w:tab w:val="left" w:pos="1560"/>
          <w:tab w:val="left" w:pos="1460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</w:t>
      </w:r>
    </w:p>
    <w:p w:rsidR="00EA3D71" w:rsidRPr="00EC0C5A" w:rsidRDefault="004B5B81">
      <w:pPr>
        <w:jc w:val="center"/>
        <w:rPr>
          <w:b/>
          <w:sz w:val="30"/>
          <w:szCs w:val="30"/>
          <w:u w:val="single"/>
        </w:rPr>
      </w:pPr>
      <w:r w:rsidRPr="00EC0C5A">
        <w:rPr>
          <w:b/>
          <w:sz w:val="30"/>
          <w:szCs w:val="30"/>
          <w:u w:val="single"/>
        </w:rPr>
        <w:t>«</w:t>
      </w:r>
      <w:r w:rsidR="00535D9A" w:rsidRPr="00EC0C5A">
        <w:rPr>
          <w:b/>
          <w:sz w:val="30"/>
          <w:szCs w:val="30"/>
          <w:u w:val="single"/>
        </w:rPr>
        <w:t>01</w:t>
      </w:r>
      <w:r w:rsidRPr="00EC0C5A">
        <w:rPr>
          <w:b/>
          <w:sz w:val="30"/>
          <w:szCs w:val="30"/>
          <w:u w:val="single"/>
        </w:rPr>
        <w:t>»</w:t>
      </w:r>
      <w:r w:rsidR="00AC48DF" w:rsidRPr="00EC0C5A">
        <w:rPr>
          <w:b/>
          <w:sz w:val="30"/>
          <w:szCs w:val="30"/>
          <w:u w:val="single"/>
        </w:rPr>
        <w:t xml:space="preserve"> </w:t>
      </w:r>
      <w:r w:rsidR="0027645A" w:rsidRPr="00EC0C5A">
        <w:rPr>
          <w:b/>
          <w:sz w:val="30"/>
          <w:szCs w:val="30"/>
          <w:u w:val="single"/>
        </w:rPr>
        <w:t>июл</w:t>
      </w:r>
      <w:r w:rsidR="00535D9A" w:rsidRPr="00EC0C5A">
        <w:rPr>
          <w:b/>
          <w:sz w:val="30"/>
          <w:szCs w:val="30"/>
          <w:u w:val="single"/>
        </w:rPr>
        <w:t>я</w:t>
      </w:r>
      <w:r w:rsidR="00B92E89" w:rsidRPr="00EC0C5A">
        <w:rPr>
          <w:b/>
          <w:sz w:val="30"/>
          <w:szCs w:val="30"/>
          <w:u w:val="single"/>
        </w:rPr>
        <w:t xml:space="preserve"> </w:t>
      </w:r>
      <w:r w:rsidR="00687A59" w:rsidRPr="00EC0C5A">
        <w:rPr>
          <w:b/>
          <w:sz w:val="30"/>
          <w:szCs w:val="30"/>
          <w:u w:val="single"/>
        </w:rPr>
        <w:t>2026</w:t>
      </w:r>
      <w:r w:rsidR="00075B4C" w:rsidRPr="00EC0C5A">
        <w:rPr>
          <w:b/>
          <w:sz w:val="30"/>
          <w:szCs w:val="30"/>
          <w:u w:val="single"/>
        </w:rPr>
        <w:t xml:space="preserve"> года продажи посредством публичного предложения в электронной форме с открытой формой подачи предложений о цене </w:t>
      </w:r>
    </w:p>
    <w:p w:rsidR="00EA3D71" w:rsidRDefault="00075B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имущества, находящегося в собственности муниципального образования город Нижний Новгород</w:t>
      </w:r>
      <w:r w:rsidR="00687A59">
        <w:rPr>
          <w:b/>
          <w:sz w:val="26"/>
          <w:szCs w:val="26"/>
        </w:rPr>
        <w:t>,</w:t>
      </w:r>
    </w:p>
    <w:p w:rsidR="00EA3D71" w:rsidRDefault="00075B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Национальной электронной площадке </w:t>
      </w:r>
    </w:p>
    <w:p w:rsidR="00EA3D71" w:rsidRDefault="00075B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https://www.fabrikant.ru/ в сети Интернет</w:t>
      </w:r>
    </w:p>
    <w:p w:rsidR="00687A59" w:rsidRDefault="00687A59" w:rsidP="00687A59">
      <w:pPr>
        <w:pStyle w:val="21"/>
        <w:spacing w:before="0" w:beforeAutospacing="0" w:after="0" w:afterAutospacing="0"/>
        <w:ind w:firstLine="708"/>
        <w:contextualSpacing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sz w:val="26"/>
          <w:szCs w:val="26"/>
          <w:lang w:val="en-US"/>
        </w:rPr>
        <w:t>kugi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admgor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nnov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bCs/>
          <w:color w:val="000000"/>
          <w:sz w:val="26"/>
          <w:szCs w:val="26"/>
        </w:rPr>
        <w:t>).</w:t>
      </w:r>
    </w:p>
    <w:p w:rsidR="00EA3D71" w:rsidRDefault="00687A59" w:rsidP="00687A59">
      <w:pPr>
        <w:pStyle w:val="21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>
        <w:rPr>
          <w:bCs/>
          <w:sz w:val="26"/>
          <w:szCs w:val="26"/>
          <w:u w:val="single"/>
        </w:rPr>
        <w:t>www.нижнийновгород.рф</w:t>
      </w:r>
      <w:proofErr w:type="spellEnd"/>
      <w:r>
        <w:rPr>
          <w:bCs/>
          <w:sz w:val="26"/>
          <w:szCs w:val="26"/>
          <w:u w:val="single"/>
        </w:rPr>
        <w:t>.</w:t>
      </w:r>
    </w:p>
    <w:p w:rsidR="00EA3D71" w:rsidRDefault="00075B4C">
      <w:pPr>
        <w:pStyle w:val="21"/>
        <w:spacing w:before="0" w:beforeAutospacing="0" w:after="0" w:afterAutospacing="0"/>
        <w:ind w:firstLine="708"/>
        <w:contextualSpacing/>
        <w:jc w:val="both"/>
        <w:rPr>
          <w:sz w:val="26"/>
          <w:szCs w:val="26"/>
          <w:lang w:eastAsia="en-US"/>
        </w:rPr>
      </w:pPr>
      <w:r>
        <w:rPr>
          <w:b/>
          <w:sz w:val="26"/>
          <w:szCs w:val="26"/>
        </w:rPr>
        <w:t>Организатор торгов</w:t>
      </w:r>
      <w:r>
        <w:rPr>
          <w:sz w:val="26"/>
          <w:szCs w:val="26"/>
        </w:rPr>
        <w:t xml:space="preserve"> – АО «Электронные торговые системы» </w:t>
      </w:r>
      <w:r>
        <w:rPr>
          <w:sz w:val="26"/>
          <w:szCs w:val="26"/>
          <w:lang w:eastAsia="en-US"/>
        </w:rPr>
        <w:t>(</w:t>
      </w:r>
      <w:r>
        <w:rPr>
          <w:sz w:val="26"/>
          <w:szCs w:val="26"/>
        </w:rPr>
        <w:t>https://www.fabrikant.ru/).</w:t>
      </w:r>
    </w:p>
    <w:p w:rsidR="00EA3D71" w:rsidRDefault="00075B4C">
      <w:pPr>
        <w:pStyle w:val="21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Продажа посредством публичного предложения с открытой формой подачи предложений о цене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</w:t>
      </w:r>
      <w:proofErr w:type="gramEnd"/>
      <w:r>
        <w:rPr>
          <w:sz w:val="26"/>
          <w:szCs w:val="26"/>
        </w:rPr>
        <w:t xml:space="preserve"> или муниципального имущества в электронной форме», </w:t>
      </w:r>
      <w:r w:rsidR="00687A59">
        <w:rPr>
          <w:color w:val="000000"/>
          <w:sz w:val="26"/>
          <w:szCs w:val="26"/>
        </w:rPr>
        <w:t>на основании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</w:t>
      </w:r>
      <w:r w:rsidR="001B1B2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EA3D71" w:rsidRPr="00184223" w:rsidRDefault="00687A59">
      <w:pPr>
        <w:pStyle w:val="21"/>
        <w:spacing w:before="0" w:beforeAutospacing="0" w:after="0" w:afterAutospacing="0"/>
        <w:ind w:firstLine="708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>
        <w:rPr>
          <w:b/>
          <w:bCs/>
          <w:sz w:val="26"/>
          <w:szCs w:val="26"/>
          <w:u w:val="single"/>
        </w:rPr>
        <w:t>www.нижнийновгород</w:t>
      </w:r>
      <w:proofErr w:type="gramStart"/>
      <w:r>
        <w:rPr>
          <w:b/>
          <w:bCs/>
          <w:sz w:val="26"/>
          <w:szCs w:val="26"/>
          <w:u w:val="single"/>
        </w:rPr>
        <w:t>.р</w:t>
      </w:r>
      <w:proofErr w:type="gramEnd"/>
      <w:r>
        <w:rPr>
          <w:b/>
          <w:bCs/>
          <w:sz w:val="26"/>
          <w:szCs w:val="26"/>
          <w:u w:val="single"/>
        </w:rPr>
        <w:t>ф</w:t>
      </w:r>
      <w:proofErr w:type="spellEnd"/>
      <w:r>
        <w:rPr>
          <w:b/>
          <w:bCs/>
          <w:sz w:val="26"/>
          <w:szCs w:val="26"/>
          <w:u w:val="single"/>
        </w:rPr>
        <w:t>,</w:t>
      </w:r>
      <w:r>
        <w:rPr>
          <w:b/>
          <w:bCs/>
          <w:sz w:val="26"/>
          <w:szCs w:val="26"/>
        </w:rPr>
        <w:t xml:space="preserve"> </w:t>
      </w:r>
      <w:hyperlink r:id="rId8" w:tooltip="http://www.torgi.gov.ru" w:history="1">
        <w:r>
          <w:rPr>
            <w:rStyle w:val="a9"/>
            <w:b/>
            <w:bCs/>
            <w:color w:val="000000"/>
            <w:sz w:val="26"/>
            <w:szCs w:val="26"/>
          </w:rPr>
          <w:t>www.</w:t>
        </w:r>
        <w:r>
          <w:rPr>
            <w:rStyle w:val="a9"/>
            <w:b/>
            <w:bCs/>
            <w:color w:val="000000"/>
            <w:sz w:val="26"/>
            <w:szCs w:val="26"/>
            <w:lang w:val="en-US"/>
          </w:rPr>
          <w:t>torgi</w:t>
        </w:r>
        <w:r>
          <w:rPr>
            <w:rStyle w:val="a9"/>
            <w:b/>
            <w:bCs/>
            <w:color w:val="000000"/>
            <w:sz w:val="26"/>
            <w:szCs w:val="26"/>
          </w:rPr>
          <w:t>.</w:t>
        </w:r>
        <w:r>
          <w:rPr>
            <w:rStyle w:val="a9"/>
            <w:b/>
            <w:bCs/>
            <w:color w:val="000000"/>
            <w:sz w:val="26"/>
            <w:szCs w:val="26"/>
            <w:lang w:val="en-US"/>
          </w:rPr>
          <w:t>gov</w:t>
        </w:r>
        <w:r>
          <w:rPr>
            <w:rStyle w:val="a9"/>
            <w:b/>
            <w:bCs/>
            <w:color w:val="000000"/>
            <w:sz w:val="26"/>
            <w:szCs w:val="26"/>
          </w:rPr>
          <w:t>.</w:t>
        </w:r>
        <w:proofErr w:type="spellStart"/>
        <w:r>
          <w:rPr>
            <w:rStyle w:val="a9"/>
            <w:b/>
            <w:bCs/>
            <w:color w:val="000000"/>
            <w:sz w:val="26"/>
            <w:szCs w:val="26"/>
          </w:rPr>
          <w:t>ru</w:t>
        </w:r>
        <w:proofErr w:type="spellEnd"/>
      </w:hyperlink>
      <w:r>
        <w:rPr>
          <w:b/>
          <w:bCs/>
          <w:color w:val="000000"/>
          <w:sz w:val="26"/>
          <w:szCs w:val="26"/>
          <w:u w:val="single"/>
        </w:rPr>
        <w:t>):</w:t>
      </w:r>
    </w:p>
    <w:p w:rsidR="00EA3D71" w:rsidRDefault="00EA3D71">
      <w:pPr>
        <w:ind w:firstLine="709"/>
        <w:jc w:val="both"/>
        <w:rPr>
          <w:b/>
          <w:sz w:val="26"/>
          <w:szCs w:val="26"/>
        </w:rPr>
      </w:pPr>
    </w:p>
    <w:p w:rsidR="00EA3D71" w:rsidRDefault="00EA3D71">
      <w:pPr>
        <w:ind w:firstLine="709"/>
        <w:jc w:val="both"/>
        <w:rPr>
          <w:b/>
          <w:sz w:val="26"/>
          <w:szCs w:val="26"/>
        </w:rPr>
      </w:pPr>
    </w:p>
    <w:p w:rsidR="00EF4295" w:rsidRDefault="00EF4295">
      <w:pPr>
        <w:ind w:firstLine="709"/>
        <w:jc w:val="both"/>
        <w:rPr>
          <w:b/>
          <w:sz w:val="26"/>
          <w:szCs w:val="26"/>
        </w:rPr>
      </w:pPr>
    </w:p>
    <w:p w:rsidR="00EF4295" w:rsidRDefault="00EF4295">
      <w:pPr>
        <w:ind w:firstLine="709"/>
        <w:jc w:val="both"/>
        <w:rPr>
          <w:b/>
          <w:sz w:val="26"/>
          <w:szCs w:val="26"/>
        </w:rPr>
      </w:pPr>
    </w:p>
    <w:tbl>
      <w:tblPr>
        <w:tblW w:w="15490" w:type="dxa"/>
        <w:jc w:val="center"/>
        <w:tblInd w:w="-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1438"/>
        <w:gridCol w:w="1807"/>
        <w:gridCol w:w="726"/>
        <w:gridCol w:w="788"/>
        <w:gridCol w:w="791"/>
        <w:gridCol w:w="1665"/>
        <w:gridCol w:w="1389"/>
        <w:gridCol w:w="1233"/>
        <w:gridCol w:w="1282"/>
        <w:gridCol w:w="1310"/>
        <w:gridCol w:w="1417"/>
        <w:gridCol w:w="1154"/>
      </w:tblGrid>
      <w:tr w:rsidR="00EF4295" w:rsidRPr="005D5008" w:rsidTr="00C66E52">
        <w:trPr>
          <w:cantSplit/>
          <w:trHeight w:val="28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lastRenderedPageBreak/>
              <w:t>№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лота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Наименование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объекта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Местонахождение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объекта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Общая площадь объекта,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кв</w:t>
            </w:r>
            <w:proofErr w:type="gramStart"/>
            <w:r w:rsidRPr="005D500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Год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ввода</w:t>
            </w:r>
          </w:p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дома в эксплуатацию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Описание объекта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Начальная цена объекта  (цена первоначального предложения), руб. (с учетом НДС)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Величина задатка, руб. (10% от начальной цены)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color w:val="000000"/>
                <w:sz w:val="20"/>
                <w:szCs w:val="20"/>
              </w:rPr>
            </w:pPr>
            <w:r w:rsidRPr="005D5008">
              <w:rPr>
                <w:color w:val="000000"/>
                <w:sz w:val="20"/>
                <w:szCs w:val="20"/>
              </w:rPr>
              <w:t>Минимальная цена объекта (цена отсечения), руб. (с учетом НДС)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color w:val="000000"/>
                <w:sz w:val="20"/>
                <w:szCs w:val="20"/>
              </w:rPr>
            </w:pPr>
            <w:r w:rsidRPr="005D5008">
              <w:rPr>
                <w:color w:val="000000"/>
                <w:sz w:val="20"/>
                <w:szCs w:val="20"/>
              </w:rPr>
              <w:t>Величина снижения первоначального предложения («шаг понижения»),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sz w:val="20"/>
                <w:szCs w:val="20"/>
              </w:rPr>
            </w:pPr>
            <w:r w:rsidRPr="005D5008">
              <w:rPr>
                <w:sz w:val="20"/>
                <w:szCs w:val="20"/>
              </w:rPr>
              <w:t>Порядок формирования цены (цена последовательно снижается на «шаг понижения»), руб.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5D5008" w:rsidRDefault="00EF4295" w:rsidP="00C66E52">
            <w:pPr>
              <w:jc w:val="center"/>
              <w:rPr>
                <w:color w:val="000000"/>
                <w:sz w:val="20"/>
                <w:szCs w:val="20"/>
              </w:rPr>
            </w:pPr>
            <w:r w:rsidRPr="005D5008">
              <w:rPr>
                <w:color w:val="000000"/>
                <w:sz w:val="20"/>
                <w:szCs w:val="20"/>
              </w:rPr>
              <w:t>Величина повышения цены («шаг аукциона»), руб.</w:t>
            </w:r>
          </w:p>
        </w:tc>
      </w:tr>
      <w:tr w:rsidR="00EF4295" w:rsidRPr="005D5008" w:rsidTr="00C66E52">
        <w:trPr>
          <w:cantSplit/>
          <w:trHeight w:val="1846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 w:rsidRPr="005D5008">
              <w:rPr>
                <w:rStyle w:val="Bodytext2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Нежилое помещение 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(этаж № подвал)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Нижегородская область, г</w:t>
            </w:r>
            <w:proofErr w:type="gramStart"/>
            <w:r w:rsidRPr="00027D48">
              <w:rPr>
                <w:sz w:val="20"/>
                <w:szCs w:val="20"/>
              </w:rPr>
              <w:t>.Н</w:t>
            </w:r>
            <w:proofErr w:type="gramEnd"/>
            <w:r w:rsidRPr="00027D48">
              <w:rPr>
                <w:sz w:val="20"/>
                <w:szCs w:val="20"/>
              </w:rPr>
              <w:t xml:space="preserve">ижний Новгород, Канавинский район, ул.Литературная, д.19,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 xml:space="preserve"> п4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52:18:0030177:795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721,5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color w:val="000000"/>
                <w:sz w:val="20"/>
                <w:szCs w:val="20"/>
                <w:lang w:bidi="ru-RU"/>
              </w:rPr>
              <w:t>Нежилое помещение расположено в подвале пятиэтажного жилого дома. Имеются два отдельных входа.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19 985 550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1 998 555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9 992 775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1 998 555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19 985 550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17 986 995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15 988 440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13 989 885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11 991 330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9 992 775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999 277,5</w:t>
            </w:r>
          </w:p>
        </w:tc>
      </w:tr>
      <w:tr w:rsidR="00EF4295" w:rsidRPr="005D5008" w:rsidTr="00C66E52">
        <w:trPr>
          <w:cantSplit/>
          <w:trHeight w:val="1833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 w:rsidRPr="005D5008">
              <w:rPr>
                <w:rStyle w:val="Bodytext2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Нежилое встроенное помещение 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Нижегородская обл., г</w:t>
            </w:r>
            <w:proofErr w:type="gramStart"/>
            <w:r w:rsidRPr="00027D48">
              <w:rPr>
                <w:sz w:val="20"/>
                <w:szCs w:val="20"/>
              </w:rPr>
              <w:t>.Н</w:t>
            </w:r>
            <w:proofErr w:type="gramEnd"/>
            <w:r w:rsidRPr="00027D48">
              <w:rPr>
                <w:sz w:val="20"/>
                <w:szCs w:val="20"/>
              </w:rPr>
              <w:t xml:space="preserve">ижний Новгород, Автозаводский район, </w:t>
            </w:r>
            <w:proofErr w:type="spellStart"/>
            <w:r w:rsidRPr="00027D48">
              <w:rPr>
                <w:sz w:val="20"/>
                <w:szCs w:val="20"/>
              </w:rPr>
              <w:t>пр-кт</w:t>
            </w:r>
            <w:proofErr w:type="spellEnd"/>
            <w:r w:rsidRPr="00027D48">
              <w:rPr>
                <w:sz w:val="20"/>
                <w:szCs w:val="20"/>
              </w:rPr>
              <w:t xml:space="preserve"> Ильича, д.34А,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 xml:space="preserve"> П1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52:18:0040239:155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188,8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четырехэтажного жилого дома. Вход отдельный со двора дома.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4 720 000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472 000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2 360 000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472 000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4 720 000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4 248 000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3 776 000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3 304 000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2 832 000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2 360 000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236 000</w:t>
            </w:r>
          </w:p>
        </w:tc>
      </w:tr>
      <w:tr w:rsidR="00EF4295" w:rsidRPr="005D5008" w:rsidTr="00C66E52">
        <w:trPr>
          <w:cantSplit/>
          <w:trHeight w:val="2265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 w:rsidRPr="005D5008">
              <w:rPr>
                <w:rStyle w:val="Bodytext2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встроенное помещение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 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Нижегородская область, г Нижний Новгород, р-н Ленинский, </w:t>
            </w:r>
            <w:proofErr w:type="spellStart"/>
            <w:proofErr w:type="gramStart"/>
            <w:r w:rsidRPr="00027D4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027D48">
              <w:rPr>
                <w:sz w:val="20"/>
                <w:szCs w:val="20"/>
              </w:rPr>
              <w:t xml:space="preserve"> Героя Чугунова, </w:t>
            </w:r>
            <w:proofErr w:type="spellStart"/>
            <w:r w:rsidRPr="00027D48">
              <w:rPr>
                <w:sz w:val="20"/>
                <w:szCs w:val="20"/>
              </w:rPr>
              <w:t>д</w:t>
            </w:r>
            <w:proofErr w:type="spellEnd"/>
            <w:r w:rsidRPr="00027D48">
              <w:rPr>
                <w:sz w:val="20"/>
                <w:szCs w:val="20"/>
              </w:rPr>
              <w:t xml:space="preserve"> 5,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 xml:space="preserve"> ВП5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52:18:0050238:972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трехэтажного жилого дома. Вход совместный.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437  030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43 703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218 515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43 703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437 030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393 327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349 624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305 921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262 218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218 515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21 851,5</w:t>
            </w:r>
          </w:p>
        </w:tc>
      </w:tr>
      <w:tr w:rsidR="00EF4295" w:rsidRPr="005D5008" w:rsidTr="00C66E52">
        <w:trPr>
          <w:cantSplit/>
          <w:trHeight w:val="2260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 w:rsidRPr="005D5008">
              <w:rPr>
                <w:rStyle w:val="Bodytext2"/>
                <w:sz w:val="20"/>
                <w:szCs w:val="20"/>
                <w:lang w:eastAsia="en-US" w:bidi="en-US"/>
              </w:rPr>
              <w:lastRenderedPageBreak/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 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Российская Федерация, Нижегородская область, </w:t>
            </w:r>
            <w:proofErr w:type="gramStart"/>
            <w:r w:rsidRPr="00027D48">
              <w:rPr>
                <w:sz w:val="20"/>
                <w:szCs w:val="20"/>
              </w:rPr>
              <w:t>г</w:t>
            </w:r>
            <w:proofErr w:type="gramEnd"/>
            <w:r w:rsidRPr="00027D48">
              <w:rPr>
                <w:sz w:val="20"/>
                <w:szCs w:val="20"/>
              </w:rPr>
              <w:t>. Нижний Новгород, Ленинский р-н, ул. Героя Чугунова,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дом 5,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>. П100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52:18:0050238:5785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12,8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трехэтажного жилого дома. Вход совместный.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408 320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40 832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204 160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40 832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408 320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367 488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326 656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285 824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244 992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204 160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20 416</w:t>
            </w:r>
          </w:p>
        </w:tc>
      </w:tr>
      <w:tr w:rsidR="00EF4295" w:rsidRPr="005D5008" w:rsidTr="00C66E52">
        <w:trPr>
          <w:cantSplit/>
          <w:trHeight w:val="2247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>
              <w:rPr>
                <w:rStyle w:val="Bodytext2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 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Российская Федерация, Нижегородская область, город Нижний Новгород, р-н Ленинский, ул. Героя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Чугунова, д.5,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>. П101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52:18:0050238:5786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15,6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трехэтажного жилого дома. Вход совместный.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497 640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49 764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248 820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49 764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497 640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447 876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398 112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348 348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298 584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248 820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24 882</w:t>
            </w:r>
          </w:p>
        </w:tc>
      </w:tr>
      <w:tr w:rsidR="00EF4295" w:rsidRPr="005D5008" w:rsidTr="00C66E52">
        <w:trPr>
          <w:cantSplit/>
          <w:trHeight w:val="2247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>
              <w:rPr>
                <w:rStyle w:val="Bodytext2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 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Российская Федерация, Нижегородская область, город Нижний Новгород, р-н Ленинский, ул. Героя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Чугунова, д.5,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>. П102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52:18:0050238:5787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трехэтажного жилого дома. Вход совместный.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357 280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35 728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178 640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35 728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357 280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321 552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285 824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250 096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214 368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178 640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17 864</w:t>
            </w:r>
          </w:p>
        </w:tc>
      </w:tr>
      <w:tr w:rsidR="00EF4295" w:rsidRPr="005D5008" w:rsidTr="00C66E52">
        <w:trPr>
          <w:cantSplit/>
          <w:trHeight w:val="2263"/>
          <w:jc w:val="center"/>
        </w:trPr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5D5008" w:rsidRDefault="00EF4295" w:rsidP="00C66E52">
            <w:pPr>
              <w:jc w:val="center"/>
              <w:rPr>
                <w:rStyle w:val="Bodytext2"/>
                <w:sz w:val="20"/>
                <w:szCs w:val="20"/>
                <w:lang w:eastAsia="en-US" w:bidi="en-US"/>
              </w:rPr>
            </w:pPr>
            <w:r>
              <w:rPr>
                <w:rStyle w:val="Bodytext2"/>
                <w:sz w:val="20"/>
                <w:szCs w:val="20"/>
                <w:lang w:eastAsia="en-US" w:bidi="en-US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</w:t>
            </w:r>
          </w:p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(Подвал № 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 xml:space="preserve">Нижегородская область, г Нижний Новгород, р-н </w:t>
            </w:r>
            <w:proofErr w:type="spellStart"/>
            <w:r w:rsidRPr="00027D48">
              <w:rPr>
                <w:sz w:val="20"/>
                <w:szCs w:val="20"/>
              </w:rPr>
              <w:t>Приокский</w:t>
            </w:r>
            <w:proofErr w:type="spellEnd"/>
            <w:r w:rsidRPr="00027D4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27D4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027D48">
              <w:rPr>
                <w:sz w:val="20"/>
                <w:szCs w:val="20"/>
              </w:rPr>
              <w:t xml:space="preserve"> Цветочная , </w:t>
            </w:r>
            <w:proofErr w:type="spellStart"/>
            <w:r w:rsidRPr="00027D48">
              <w:rPr>
                <w:sz w:val="20"/>
                <w:szCs w:val="20"/>
              </w:rPr>
              <w:t>д</w:t>
            </w:r>
            <w:proofErr w:type="spellEnd"/>
            <w:r w:rsidRPr="00027D48">
              <w:rPr>
                <w:sz w:val="20"/>
                <w:szCs w:val="20"/>
              </w:rPr>
              <w:t xml:space="preserve"> 1, </w:t>
            </w:r>
            <w:proofErr w:type="spellStart"/>
            <w:r w:rsidRPr="00027D48">
              <w:rPr>
                <w:sz w:val="20"/>
                <w:szCs w:val="20"/>
              </w:rPr>
              <w:t>пом</w:t>
            </w:r>
            <w:proofErr w:type="spellEnd"/>
            <w:r w:rsidRPr="00027D48">
              <w:rPr>
                <w:sz w:val="20"/>
                <w:szCs w:val="20"/>
              </w:rPr>
              <w:t xml:space="preserve"> П2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52:18:0070036:299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104,7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1973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95" w:rsidRPr="00027D48" w:rsidRDefault="00EF4295" w:rsidP="00C66E52">
            <w:pPr>
              <w:ind w:left="57" w:right="57"/>
              <w:jc w:val="center"/>
              <w:rPr>
                <w:sz w:val="20"/>
                <w:szCs w:val="20"/>
              </w:rPr>
            </w:pPr>
            <w:r w:rsidRPr="00027D48">
              <w:rPr>
                <w:sz w:val="20"/>
                <w:szCs w:val="20"/>
              </w:rPr>
              <w:t>Нежилое помещение расположено в подвале пятиэтажного жилого дома. Имеются два отдельных входа.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4 690 560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469 056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2 345 280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469 056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4 690 560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4 221 504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3 752 448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3 283 392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2 814 336</w:t>
            </w: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</w:p>
          <w:p w:rsidR="00EF4295" w:rsidRPr="00EF4295" w:rsidRDefault="00EF4295" w:rsidP="00C66E52">
            <w:pPr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2 345 280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95" w:rsidRPr="00EF4295" w:rsidRDefault="00EF4295" w:rsidP="00C66E5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F4295">
              <w:rPr>
                <w:b/>
                <w:sz w:val="18"/>
                <w:szCs w:val="18"/>
              </w:rPr>
              <w:t>234 528</w:t>
            </w:r>
          </w:p>
        </w:tc>
      </w:tr>
    </w:tbl>
    <w:p w:rsidR="00EF4295" w:rsidRDefault="00EF4295">
      <w:pPr>
        <w:ind w:firstLine="709"/>
        <w:jc w:val="both"/>
        <w:rPr>
          <w:b/>
          <w:sz w:val="26"/>
          <w:szCs w:val="26"/>
        </w:rPr>
      </w:pPr>
    </w:p>
    <w:p w:rsidR="00EF4295" w:rsidRDefault="00EF4295">
      <w:pPr>
        <w:ind w:firstLine="709"/>
        <w:jc w:val="both"/>
        <w:rPr>
          <w:b/>
          <w:sz w:val="26"/>
          <w:szCs w:val="26"/>
        </w:rPr>
      </w:pPr>
    </w:p>
    <w:p w:rsidR="00027D48" w:rsidRDefault="00027D48" w:rsidP="0027207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EF4295" w:rsidRDefault="00EF4295" w:rsidP="0027207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27207A" w:rsidRDefault="00075B4C" w:rsidP="0027207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Примечание:</w:t>
      </w:r>
    </w:p>
    <w:p w:rsidR="00B042D7" w:rsidRDefault="00B042D7" w:rsidP="0027207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027D48" w:rsidRDefault="00027D48" w:rsidP="00027D48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По лотам №№ 1-7: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>
        <w:rPr>
          <w:b/>
          <w:sz w:val="26"/>
          <w:szCs w:val="26"/>
        </w:rPr>
        <w:t>общедомовых</w:t>
      </w:r>
      <w:proofErr w:type="spellEnd"/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027D48" w:rsidRDefault="00027D48" w:rsidP="00027D48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027D48" w:rsidRDefault="00027D48" w:rsidP="00027D48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1-2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28.01.2026 № 26 и постановлениями администрации города Нижнего Новгорода от 20.02.2026 № 1476, от 04.05.2026 № 3598.</w:t>
      </w:r>
    </w:p>
    <w:p w:rsidR="00027D48" w:rsidRDefault="00027D48" w:rsidP="00027D48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 </w:t>
      </w:r>
      <w:r>
        <w:rPr>
          <w:color w:val="000000"/>
          <w:sz w:val="26"/>
          <w:szCs w:val="26"/>
        </w:rPr>
        <w:t xml:space="preserve">от 10.06.2025 № 5431379, от 21.07.2025 № 5443871 </w:t>
      </w:r>
      <w:r>
        <w:rPr>
          <w:sz w:val="26"/>
          <w:szCs w:val="26"/>
        </w:rPr>
        <w:t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027D48" w:rsidRDefault="00027D48" w:rsidP="00027D4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>от 06.11.2025 № 5473633, от 20.04.2026 № 5509445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 продаже не состоялись в связи с тем, что не было подано ни одной заявки на участие либо ни один из претендентов не признан участником.</w:t>
      </w:r>
    </w:p>
    <w:p w:rsidR="00027D48" w:rsidRDefault="00027D48" w:rsidP="00027D4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27D48" w:rsidRDefault="00027D48" w:rsidP="00027D48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3-7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28.01.2026 № 26 постановлениями администрации города Нижнего Новгорода от 20.02.2026 № 1476, от 04.05.2026 № 3598.</w:t>
      </w:r>
    </w:p>
    <w:p w:rsidR="00027D48" w:rsidRDefault="00027D48" w:rsidP="00027D48"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06.11.2025 № 5473633, от 20.04.2026 № 5509445 </w:t>
      </w:r>
      <w:r>
        <w:rPr>
          <w:sz w:val="26"/>
          <w:szCs w:val="26"/>
        </w:rPr>
        <w:t>по продаже не состоялись в связи тем, что не было подано ни одной заявки на участие либо ни один из претендентов не признан участником.</w:t>
      </w:r>
    </w:p>
    <w:p w:rsidR="00027D48" w:rsidRDefault="00027D48" w:rsidP="00027D48">
      <w:pPr>
        <w:pStyle w:val="a3"/>
        <w:spacing w:before="0" w:beforeAutospacing="0" w:after="0" w:afterAutospacing="0"/>
        <w:rPr>
          <w:color w:val="000000"/>
          <w:sz w:val="26"/>
          <w:szCs w:val="26"/>
          <w:u w:val="single"/>
          <w:lang w:bidi="ru-RU"/>
        </w:rPr>
      </w:pPr>
    </w:p>
    <w:p w:rsidR="00EA3D71" w:rsidRDefault="00075B4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Начало приема заявок на участие в продаже посредством публичного предложения</w:t>
      </w:r>
      <w:r>
        <w:rPr>
          <w:sz w:val="26"/>
          <w:szCs w:val="26"/>
        </w:rPr>
        <w:t xml:space="preserve"> –</w:t>
      </w:r>
      <w:r w:rsidR="00027D48">
        <w:rPr>
          <w:sz w:val="26"/>
          <w:szCs w:val="26"/>
        </w:rPr>
        <w:t xml:space="preserve"> 08.05</w:t>
      </w:r>
      <w:r w:rsidR="00687A59">
        <w:rPr>
          <w:sz w:val="26"/>
          <w:szCs w:val="26"/>
        </w:rPr>
        <w:t>.2026</w:t>
      </w:r>
      <w:r>
        <w:rPr>
          <w:sz w:val="26"/>
          <w:szCs w:val="26"/>
        </w:rPr>
        <w:t xml:space="preserve"> в 15:00.</w:t>
      </w:r>
    </w:p>
    <w:p w:rsidR="00EA3D71" w:rsidRDefault="00075B4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Окончание приема заявок на участие в продаже посредством публичного предложения</w:t>
      </w:r>
      <w:r>
        <w:rPr>
          <w:sz w:val="26"/>
          <w:szCs w:val="26"/>
        </w:rPr>
        <w:t xml:space="preserve"> –</w:t>
      </w:r>
      <w:r w:rsidR="00027D48">
        <w:rPr>
          <w:sz w:val="26"/>
          <w:szCs w:val="26"/>
        </w:rPr>
        <w:t xml:space="preserve"> 24.06</w:t>
      </w:r>
      <w:r w:rsidR="00950073">
        <w:rPr>
          <w:sz w:val="26"/>
          <w:szCs w:val="26"/>
        </w:rPr>
        <w:t>.</w:t>
      </w:r>
      <w:r w:rsidR="00687A59">
        <w:rPr>
          <w:sz w:val="26"/>
          <w:szCs w:val="26"/>
        </w:rPr>
        <w:t>2026</w:t>
      </w:r>
      <w:r>
        <w:rPr>
          <w:sz w:val="26"/>
          <w:szCs w:val="26"/>
        </w:rPr>
        <w:t xml:space="preserve"> в 15:00.</w:t>
      </w:r>
    </w:p>
    <w:p w:rsidR="00EA3D71" w:rsidRDefault="00075B4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</w:t>
      </w:r>
      <w:r w:rsidR="00027D48">
        <w:rPr>
          <w:sz w:val="26"/>
          <w:szCs w:val="26"/>
        </w:rPr>
        <w:t xml:space="preserve"> 24.06</w:t>
      </w:r>
      <w:r w:rsidR="00687A59">
        <w:rPr>
          <w:sz w:val="26"/>
          <w:szCs w:val="26"/>
        </w:rPr>
        <w:t>.2026</w:t>
      </w:r>
      <w:r>
        <w:rPr>
          <w:sz w:val="26"/>
          <w:szCs w:val="26"/>
        </w:rPr>
        <w:t xml:space="preserve"> до 15:00.</w:t>
      </w:r>
    </w:p>
    <w:p w:rsidR="00EA3D71" w:rsidRDefault="00075B4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Определение участников продажи посредством публичного предложения</w:t>
      </w:r>
      <w:r>
        <w:rPr>
          <w:sz w:val="26"/>
          <w:szCs w:val="26"/>
        </w:rPr>
        <w:t xml:space="preserve"> –</w:t>
      </w:r>
      <w:r w:rsidR="00027D48">
        <w:rPr>
          <w:sz w:val="26"/>
          <w:szCs w:val="26"/>
        </w:rPr>
        <w:t xml:space="preserve"> 30</w:t>
      </w:r>
      <w:r w:rsidR="000B6943">
        <w:rPr>
          <w:sz w:val="26"/>
          <w:szCs w:val="26"/>
        </w:rPr>
        <w:t>.0</w:t>
      </w:r>
      <w:r w:rsidR="00027D48">
        <w:rPr>
          <w:sz w:val="26"/>
          <w:szCs w:val="26"/>
        </w:rPr>
        <w:t>6</w:t>
      </w:r>
      <w:r w:rsidR="00687A59">
        <w:rPr>
          <w:sz w:val="26"/>
          <w:szCs w:val="26"/>
        </w:rPr>
        <w:t>.2026</w:t>
      </w:r>
      <w:r>
        <w:rPr>
          <w:sz w:val="26"/>
          <w:szCs w:val="26"/>
        </w:rPr>
        <w:t xml:space="preserve"> до 23:59.</w:t>
      </w:r>
    </w:p>
    <w:p w:rsidR="00EA3D71" w:rsidRDefault="00075B4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Проведение продажи (дата и время начала приема предложений от участников продажи)</w:t>
      </w:r>
      <w:r>
        <w:rPr>
          <w:sz w:val="26"/>
          <w:szCs w:val="26"/>
        </w:rPr>
        <w:t xml:space="preserve"> –</w:t>
      </w:r>
      <w:r w:rsidR="000B6943">
        <w:rPr>
          <w:sz w:val="26"/>
          <w:szCs w:val="26"/>
        </w:rPr>
        <w:t xml:space="preserve"> </w:t>
      </w:r>
      <w:r w:rsidR="00027D48">
        <w:rPr>
          <w:b/>
          <w:sz w:val="26"/>
          <w:szCs w:val="26"/>
          <w:u w:val="single"/>
        </w:rPr>
        <w:t>01.07</w:t>
      </w:r>
      <w:r w:rsidR="00687A59">
        <w:rPr>
          <w:b/>
          <w:sz w:val="26"/>
          <w:szCs w:val="26"/>
          <w:u w:val="single"/>
        </w:rPr>
        <w:t>.2026</w:t>
      </w:r>
      <w:r>
        <w:rPr>
          <w:b/>
          <w:sz w:val="26"/>
          <w:szCs w:val="26"/>
          <w:u w:val="single"/>
        </w:rPr>
        <w:t xml:space="preserve"> в </w:t>
      </w:r>
      <w:r w:rsidR="00687A59">
        <w:rPr>
          <w:b/>
          <w:sz w:val="26"/>
          <w:szCs w:val="26"/>
          <w:u w:val="single"/>
        </w:rPr>
        <w:t>09</w:t>
      </w:r>
      <w:r>
        <w:rPr>
          <w:b/>
          <w:sz w:val="26"/>
          <w:szCs w:val="26"/>
          <w:u w:val="single"/>
        </w:rPr>
        <w:t>:30</w:t>
      </w:r>
      <w:r>
        <w:rPr>
          <w:b/>
          <w:sz w:val="30"/>
          <w:szCs w:val="30"/>
          <w:u w:val="single"/>
        </w:rPr>
        <w:t>.</w:t>
      </w:r>
    </w:p>
    <w:p w:rsidR="00EA3D71" w:rsidRDefault="00075B4C">
      <w:pPr>
        <w:tabs>
          <w:tab w:val="num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Подведение итогов продажи посредством публичного предложения:</w:t>
      </w:r>
      <w:r>
        <w:rPr>
          <w:sz w:val="26"/>
          <w:szCs w:val="26"/>
        </w:rPr>
        <w:t xml:space="preserve"> процедура продажи считается завершенной со времени</w:t>
      </w:r>
      <w:r>
        <w:rPr>
          <w:rFonts w:eastAsia="Calibri"/>
          <w:sz w:val="26"/>
          <w:szCs w:val="26"/>
        </w:rPr>
        <w:t xml:space="preserve"> подписания продавцом протокола об итогах продажи.</w:t>
      </w:r>
    </w:p>
    <w:p w:rsidR="00400318" w:rsidRDefault="0040031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</w:p>
    <w:p w:rsidR="00687A59" w:rsidRDefault="00687A59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</w:p>
    <w:p w:rsidR="00687A59" w:rsidRDefault="00687A59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Автозаводский район, Ленинский район: 251-47-57;</w:t>
      </w:r>
    </w:p>
    <w:p w:rsidR="00687A59" w:rsidRDefault="00687A59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>
        <w:rPr>
          <w:b/>
          <w:sz w:val="26"/>
          <w:szCs w:val="26"/>
        </w:rPr>
        <w:t>Приокский</w:t>
      </w:r>
      <w:proofErr w:type="spellEnd"/>
      <w:r>
        <w:rPr>
          <w:b/>
          <w:sz w:val="26"/>
          <w:szCs w:val="26"/>
        </w:rPr>
        <w:t xml:space="preserve"> район: 430-00-57;</w:t>
      </w:r>
    </w:p>
    <w:p w:rsidR="00687A59" w:rsidRDefault="00687A59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Сормовский</w:t>
      </w:r>
      <w:proofErr w:type="spellEnd"/>
      <w:r>
        <w:rPr>
          <w:b/>
          <w:sz w:val="26"/>
          <w:szCs w:val="26"/>
        </w:rPr>
        <w:t xml:space="preserve"> район, </w:t>
      </w:r>
      <w:proofErr w:type="spellStart"/>
      <w:r>
        <w:rPr>
          <w:b/>
          <w:sz w:val="26"/>
          <w:szCs w:val="26"/>
        </w:rPr>
        <w:t>Канавинский</w:t>
      </w:r>
      <w:proofErr w:type="spellEnd"/>
      <w:r>
        <w:rPr>
          <w:b/>
          <w:sz w:val="26"/>
          <w:szCs w:val="26"/>
        </w:rPr>
        <w:t xml:space="preserve"> район, Московский район: 222-22-65;</w:t>
      </w:r>
    </w:p>
    <w:p w:rsidR="00687A59" w:rsidRDefault="00687A59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Кстовский</w:t>
      </w:r>
      <w:proofErr w:type="spellEnd"/>
      <w:r>
        <w:rPr>
          <w:b/>
          <w:sz w:val="26"/>
          <w:szCs w:val="26"/>
        </w:rPr>
        <w:t xml:space="preserve"> район: 453-92-50 (доб.324).</w:t>
      </w:r>
    </w:p>
    <w:p w:rsidR="00EA3D71" w:rsidRPr="00687A59" w:rsidRDefault="00687A59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sz w:val="26"/>
          <w:szCs w:val="26"/>
          <w:lang w:val="ru-RU"/>
        </w:rPr>
      </w:pPr>
      <w:r w:rsidRPr="00687A59">
        <w:rPr>
          <w:sz w:val="26"/>
          <w:szCs w:val="26"/>
          <w:lang w:val="ru-RU"/>
        </w:rPr>
        <w:lastRenderedPageBreak/>
        <w:t xml:space="preserve">По дополнительным вопросам обращаться в отдел организации продаж </w:t>
      </w:r>
      <w:r w:rsidR="000F03F9">
        <w:rPr>
          <w:sz w:val="26"/>
          <w:szCs w:val="26"/>
          <w:lang w:val="ru-RU"/>
        </w:rPr>
        <w:t xml:space="preserve">и реализации имущества </w:t>
      </w:r>
      <w:r w:rsidRPr="00687A59">
        <w:rPr>
          <w:sz w:val="26"/>
          <w:szCs w:val="26"/>
          <w:lang w:val="ru-RU"/>
        </w:rPr>
        <w:t>комитета по управлению городским имуществом и земельными ресурсами администрации города Нижнего Новгорода по телефону: 435-69-24.</w:t>
      </w:r>
    </w:p>
    <w:p w:rsidR="00970CC2" w:rsidRDefault="00970CC2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</w:t>
      </w:r>
    </w:p>
    <w:p w:rsidR="00C12C1D" w:rsidRDefault="00C12C1D" w:rsidP="00EC0C5A"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продаже муниципального имущества посредством публичного предложения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C12C1D" w:rsidRDefault="00C12C1D" w:rsidP="00EC0C5A">
      <w:pPr>
        <w:pStyle w:val="rezul"/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 Федеральным законом о приватизации:</w:t>
      </w:r>
      <w:r>
        <w:rPr>
          <w:lang w:val="ru-RU"/>
        </w:rPr>
        <w:t xml:space="preserve"> </w:t>
      </w:r>
    </w:p>
    <w:p w:rsidR="00C12C1D" w:rsidRPr="00EC60A0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продаже посредством публичного предложения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(приложение 1 к информационному сообщению)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представляются документы:</w:t>
      </w:r>
    </w:p>
    <w:p w:rsidR="00EC60A0" w:rsidRPr="00FE2A2E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EC60A0" w:rsidRPr="00FE2A2E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EC60A0" w:rsidRPr="00601F98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EC60A0" w:rsidRPr="00FE2A2E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C60A0" w:rsidRPr="00FE2A2E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EC60A0" w:rsidRPr="00601F98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C60A0" w:rsidRPr="00601F98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EC60A0" w:rsidRPr="00601F98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EC60A0" w:rsidRPr="00601F98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копии всех листов документа, удостоверяющего личность (в случае 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EC60A0" w:rsidRPr="001B799A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C60A0" w:rsidRDefault="00EC60A0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- </w:t>
      </w:r>
      <w:hyperlink r:id="rId9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www.нижнийновгород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 на электронной площадке www.fabrikant.ru (приложение №2 к информационному сообщению).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имущество. </w:t>
      </w:r>
    </w:p>
    <w:p w:rsidR="00C12C1D" w:rsidRDefault="00C12C1D" w:rsidP="00EC0C5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ab/>
      </w:r>
      <w:r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проводится в соответствии с Регламентом электронной площадки https://www.fabrikant.ru.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продаже по следующим основаниям: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отказаться от проведения продажи не позднее чем за 3 (три) дня до даты проведения продажи.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 этом задатки возвращаются заявителям в течение 5 (пяти) дней с даты публикации извещения об отказе от проведения продажи на официальных сайтах торгов, электронной площадке.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 продаже не позднее, чем за 5 (пять) дней до даты окончания срока подачи заявок на участие в продаже. </w:t>
      </w:r>
    </w:p>
    <w:p w:rsidR="00C12C1D" w:rsidRDefault="00C12C1D" w:rsidP="00EC0C5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 продаже,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C12C1D" w:rsidRDefault="00C12C1D" w:rsidP="00EC0C5A">
      <w:pPr>
        <w:pStyle w:val="ac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/>
          <w:bCs/>
          <w:color w:val="000000"/>
          <w:sz w:val="26"/>
          <w:szCs w:val="26"/>
        </w:rPr>
        <w:t>При внесении изменений срок подачи заявок на участие в продаже продлевается таким образом, чтобы с даты размещения на официальных сайтах торгов внесенных изменений до даты окончания подачи заявок на участие в продаже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 продаже, размещенными надлежащим образом.</w:t>
      </w:r>
    </w:p>
    <w:p w:rsidR="0028655C" w:rsidRDefault="0028655C" w:rsidP="00EC0C5A">
      <w:pPr>
        <w:pStyle w:val="TextBoldCenter"/>
        <w:spacing w:before="0"/>
        <w:ind w:firstLine="567"/>
        <w:jc w:val="both"/>
        <w:outlineLvl w:val="0"/>
        <w:rPr>
          <w:b w:val="0"/>
          <w:color w:val="000000"/>
        </w:rPr>
      </w:pPr>
      <w:r>
        <w:rPr>
          <w:color w:val="000000"/>
        </w:rPr>
        <w:t>Задаток</w:t>
      </w:r>
      <w:r>
        <w:rPr>
          <w:b w:val="0"/>
          <w:color w:val="000000"/>
        </w:rPr>
        <w:t xml:space="preserve">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28655C" w:rsidRDefault="0028655C" w:rsidP="00EC0C5A">
      <w:pPr>
        <w:pStyle w:val="TextBoldCenter"/>
        <w:tabs>
          <w:tab w:val="left" w:pos="284"/>
        </w:tabs>
        <w:spacing w:before="0"/>
        <w:ind w:firstLine="567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8655C" w:rsidRDefault="0028655C" w:rsidP="00EC0C5A">
      <w:pPr>
        <w:ind w:firstLine="567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продаже имущества посредством публичного предложения, денежные средства возвращаются в следующем порядке:</w:t>
      </w:r>
    </w:p>
    <w:p w:rsidR="0028655C" w:rsidRDefault="0028655C" w:rsidP="00EC0C5A"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участникам, за исключением победителя,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8655C" w:rsidRDefault="0028655C" w:rsidP="00EC0C5A">
      <w:pPr>
        <w:ind w:firstLine="567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8655C" w:rsidRDefault="0028655C" w:rsidP="00EC0C5A">
      <w:pPr>
        <w:pStyle w:val="TextBoldCenter"/>
        <w:spacing w:before="0"/>
        <w:ind w:firstLine="567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8655C" w:rsidRDefault="0028655C" w:rsidP="00EC0C5A">
      <w:pPr>
        <w:ind w:firstLine="56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Сумма задатка не возвращается при уклонении или отказе победителя продажи:</w:t>
      </w:r>
    </w:p>
    <w:p w:rsidR="0028655C" w:rsidRDefault="0028655C" w:rsidP="00EC0C5A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продажи договора купли-продажи (результаты продажи аннулируются Продавцом); </w:t>
      </w:r>
    </w:p>
    <w:p w:rsidR="0028655C" w:rsidRDefault="0028655C" w:rsidP="00EC0C5A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исполнения покупателем обязательств по оплате по договору купли-продажи.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В день определения участников продажи, указанный в информационном сообщении, Организатор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прилагаемых к ним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 продажи,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такого отказа.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продажи всем Претендентам, подавшим заявки,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продаже, размещается в открытой части электронной площадки и на официальных сайтах торгов.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продажи должно состояться не позднее третьего рабочего дня со дня определения участников продажи, указанного в информационном сообщении.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проведения продажи.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- на представление предложений о цене имущества на каждом "шаге понижения".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случае, если в течение указанного времени: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об увеличении начальной цены имущества на "шаг аукциона", то время для представления следующих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завершается. Победителем аукциона признается участник, предложивший наиболее высокую цену имущества. </w:t>
      </w:r>
    </w:p>
    <w:p w:rsidR="00C12C1D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- участники не заявляют предложения о цене, превышающей начальную цену имущества, то аукцион с помощью программно-аппаратных средств электронной площадки завершается. Победителем признается участник, который первым подтвердил начальную цену имущества.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rFonts w:eastAsia="Calibri"/>
          <w:bCs/>
          <w:color w:val="000000"/>
          <w:sz w:val="26"/>
          <w:szCs w:val="26"/>
          <w:lang w:eastAsia="en-US"/>
        </w:rPr>
        <w:t>неподтверждения</w:t>
      </w:r>
      <w:proofErr w:type="spellEnd"/>
      <w:r>
        <w:rPr>
          <w:rFonts w:eastAsia="Calibri"/>
          <w:bCs/>
          <w:color w:val="000000"/>
          <w:sz w:val="26"/>
          <w:szCs w:val="26"/>
          <w:lang w:eastAsia="en-US"/>
        </w:rPr>
        <w:t>) участниками предложения о цене имущества;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а) наименование имущества и иные позволяющие его индивидуализировать сведения (спецификация лота);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б) цена сделки;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в) фамилия, имя, отчество физического лица или наименование юридического лица - победителя.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Не позднее рабочего дня, следующего за днем подведения итогов продажи, Продавец направляет или выдает под расписку Победителю продажи протокол об итогах продажи на бумажном носителе.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Продажа имущества посредством публичного предложения признается несостоявшейся в следующих случаях: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б) принято решение о признании только одного претендента участником;</w:t>
      </w:r>
    </w:p>
    <w:p w:rsidR="00C12C1D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C12C1D" w:rsidRPr="00BE6D75" w:rsidRDefault="00C12C1D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C12C1D" w:rsidRPr="0027645A" w:rsidRDefault="00BE6D75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000000"/>
          <w:sz w:val="28"/>
          <w:szCs w:val="26"/>
          <w:u w:val="single"/>
          <w:lang w:eastAsia="en-US"/>
        </w:rPr>
      </w:pPr>
      <w:r w:rsidRPr="0027645A">
        <w:rPr>
          <w:rFonts w:eastAsia="Calibri"/>
          <w:b/>
          <w:bCs/>
          <w:color w:val="000000"/>
          <w:sz w:val="28"/>
          <w:szCs w:val="26"/>
          <w:u w:val="single"/>
          <w:lang w:eastAsia="en-US"/>
        </w:rPr>
        <w:t>Заключение договора купли-продажи с победителем продажи осуществляется не ранее чем через 10 дней и не позднее 20 дней со дня</w:t>
      </w:r>
      <w:r w:rsidR="0028655C" w:rsidRPr="0027645A">
        <w:rPr>
          <w:rFonts w:eastAsia="Calibri"/>
          <w:b/>
          <w:bCs/>
          <w:color w:val="000000"/>
          <w:sz w:val="28"/>
          <w:szCs w:val="26"/>
          <w:u w:val="single"/>
          <w:lang w:eastAsia="en-US"/>
        </w:rPr>
        <w:t xml:space="preserve"> подведения итогов продажи</w:t>
      </w:r>
      <w:r w:rsidR="00C12C1D" w:rsidRPr="0027645A">
        <w:rPr>
          <w:rFonts w:eastAsia="Calibri"/>
          <w:b/>
          <w:bCs/>
          <w:color w:val="000000"/>
          <w:sz w:val="28"/>
          <w:szCs w:val="26"/>
          <w:u w:val="single"/>
          <w:lang w:eastAsia="en-US"/>
        </w:rPr>
        <w:t>.</w:t>
      </w:r>
    </w:p>
    <w:p w:rsidR="0028655C" w:rsidRDefault="0028655C" w:rsidP="00EC0C5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28655C" w:rsidRPr="0027645A" w:rsidRDefault="0028655C" w:rsidP="00EC0C5A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7645A">
        <w:rPr>
          <w:b/>
          <w:color w:val="000000"/>
          <w:sz w:val="28"/>
          <w:szCs w:val="28"/>
          <w:u w:val="single"/>
        </w:rPr>
        <w:t>Оплата имущества, приобретенного на продаже посредством публичного предложения, производится победителем продажи единовременно в соответствии с договором купли-</w:t>
      </w:r>
      <w:r w:rsidRPr="0027645A">
        <w:rPr>
          <w:rFonts w:eastAsia="Calibri"/>
          <w:b/>
          <w:color w:val="000000"/>
          <w:sz w:val="28"/>
          <w:szCs w:val="28"/>
          <w:u w:val="single"/>
        </w:rPr>
        <w:t>продажи в течение 15 (пятнадцати) календарных дней со дня его заключения.</w:t>
      </w:r>
      <w:r w:rsidRPr="0027645A">
        <w:rPr>
          <w:rFonts w:eastAsia="Calibri"/>
          <w:color w:val="000000"/>
          <w:sz w:val="28"/>
          <w:szCs w:val="28"/>
        </w:rPr>
        <w:t xml:space="preserve"> </w:t>
      </w:r>
    </w:p>
    <w:p w:rsidR="0028655C" w:rsidRDefault="0028655C" w:rsidP="00EC0C5A"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Задаток, внесенный покупателем,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Подтверждением оплаты имущества является акт приема-передачи имущества.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8655C" w:rsidRDefault="0028655C" w:rsidP="00EC0C5A">
      <w:pPr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Оплата имущества, приобретаемого на торгах, производится победителем путем перечисления денежных средств по следующим реквизитам:</w:t>
      </w:r>
    </w:p>
    <w:p w:rsidR="0028655C" w:rsidRDefault="0028655C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8655C" w:rsidRDefault="0028655C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</w:p>
    <w:p w:rsidR="0028655C" w:rsidRDefault="0028655C" w:rsidP="00EC0C5A">
      <w:pPr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 является физическим лицом, не зарегистрированным в качестве  индивидуального предпринимателя):</w:t>
      </w:r>
    </w:p>
    <w:p w:rsidR="0028655C" w:rsidRDefault="0028655C" w:rsidP="00EC0C5A">
      <w:pPr>
        <w:ind w:firstLine="567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</w:p>
    <w:p w:rsidR="0028655C" w:rsidRDefault="0028655C" w:rsidP="00EC0C5A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>
        <w:rPr>
          <w:b/>
          <w:sz w:val="26"/>
          <w:szCs w:val="26"/>
        </w:rPr>
        <w:t>от</w:t>
      </w:r>
      <w:proofErr w:type="gramEnd"/>
      <w:r>
        <w:rPr>
          <w:b/>
          <w:sz w:val="26"/>
          <w:szCs w:val="26"/>
        </w:rPr>
        <w:t xml:space="preserve"> __________ № _____».</w:t>
      </w:r>
    </w:p>
    <w:p w:rsidR="0028655C" w:rsidRDefault="0028655C" w:rsidP="00EC0C5A"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proofErr w:type="gramStart"/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>на соответствующий счет</w:t>
      </w:r>
      <w:proofErr w:type="gramEnd"/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 </w:t>
      </w:r>
    </w:p>
    <w:p w:rsidR="0028655C" w:rsidRDefault="0028655C" w:rsidP="00EC0C5A"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D43C5" w:rsidRPr="00EC0C5A" w:rsidRDefault="00C12C1D" w:rsidP="00EC0C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EC0C5A">
        <w:rPr>
          <w:rFonts w:eastAsia="Calibri"/>
          <w:bCs/>
          <w:color w:val="000000"/>
          <w:sz w:val="26"/>
          <w:szCs w:val="26"/>
          <w:u w:val="single"/>
          <w:lang w:val="ru-RU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</w:t>
      </w:r>
      <w:r w:rsidR="00315EC9" w:rsidRPr="00EC0C5A">
        <w:rPr>
          <w:rFonts w:eastAsia="Calibri"/>
          <w:bCs/>
          <w:color w:val="000000"/>
          <w:sz w:val="26"/>
          <w:szCs w:val="26"/>
          <w:u w:val="single"/>
          <w:lang w:val="ru-RU"/>
        </w:rPr>
        <w:t>.</w:t>
      </w:r>
    </w:p>
    <w:sectPr w:rsidR="002D43C5" w:rsidRPr="00EC0C5A" w:rsidSect="006C618C">
      <w:headerReference w:type="default" r:id="rId10"/>
      <w:pgSz w:w="16838" w:h="11906" w:orient="landscape" w:code="9"/>
      <w:pgMar w:top="851" w:right="536" w:bottom="567" w:left="709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F73" w:rsidRDefault="00E25F73">
      <w:r>
        <w:separator/>
      </w:r>
    </w:p>
  </w:endnote>
  <w:endnote w:type="continuationSeparator" w:id="0">
    <w:p w:rsidR="00E25F73" w:rsidRDefault="00E2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F73" w:rsidRDefault="00E25F73">
      <w:r>
        <w:separator/>
      </w:r>
    </w:p>
  </w:footnote>
  <w:footnote w:type="continuationSeparator" w:id="0">
    <w:p w:rsidR="00E25F73" w:rsidRDefault="00E25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5D4" w:rsidRDefault="00D3770F">
    <w:pPr>
      <w:pStyle w:val="af"/>
      <w:jc w:val="center"/>
    </w:pPr>
    <w:fldSimple w:instr="PAGE   \* MERGEFORMAT">
      <w:r w:rsidR="00850045">
        <w:rPr>
          <w:noProof/>
        </w:rPr>
        <w:t>2</w:t>
      </w:r>
    </w:fldSimple>
  </w:p>
  <w:p w:rsidR="007A15D4" w:rsidRDefault="007A15D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5E40EF"/>
    <w:multiLevelType w:val="hybridMultilevel"/>
    <w:tmpl w:val="83B64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270A9A"/>
    <w:multiLevelType w:val="hybridMultilevel"/>
    <w:tmpl w:val="29AE4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FE00E99"/>
    <w:multiLevelType w:val="multilevel"/>
    <w:tmpl w:val="67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0922D6"/>
    <w:multiLevelType w:val="hybridMultilevel"/>
    <w:tmpl w:val="44C6D5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4C43B84"/>
    <w:multiLevelType w:val="hybridMultilevel"/>
    <w:tmpl w:val="1C14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2668C"/>
    <w:multiLevelType w:val="hybridMultilevel"/>
    <w:tmpl w:val="CBAAE3EC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3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5">
    <w:nsid w:val="38874FA3"/>
    <w:multiLevelType w:val="hybridMultilevel"/>
    <w:tmpl w:val="D1261DFC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6">
    <w:nsid w:val="38DA34C3"/>
    <w:multiLevelType w:val="hybridMultilevel"/>
    <w:tmpl w:val="604C9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E31971"/>
    <w:multiLevelType w:val="hybridMultilevel"/>
    <w:tmpl w:val="905A4E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886968"/>
    <w:multiLevelType w:val="hybridMultilevel"/>
    <w:tmpl w:val="F7087B6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0FF0311"/>
    <w:multiLevelType w:val="hybridMultilevel"/>
    <w:tmpl w:val="64DA5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745598"/>
    <w:multiLevelType w:val="hybridMultilevel"/>
    <w:tmpl w:val="AF28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23E5"/>
    <w:multiLevelType w:val="hybridMultilevel"/>
    <w:tmpl w:val="F5ECF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61D736F6"/>
    <w:multiLevelType w:val="hybridMultilevel"/>
    <w:tmpl w:val="5BC28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4336D0"/>
    <w:multiLevelType w:val="hybridMultilevel"/>
    <w:tmpl w:val="37F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A3D76E7"/>
    <w:multiLevelType w:val="hybridMultilevel"/>
    <w:tmpl w:val="2ED88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A10461"/>
    <w:multiLevelType w:val="hybridMultilevel"/>
    <w:tmpl w:val="3F88D8CA"/>
    <w:lvl w:ilvl="0" w:tplc="28A8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C262B2"/>
    <w:multiLevelType w:val="hybridMultilevel"/>
    <w:tmpl w:val="429C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4E7E49"/>
    <w:multiLevelType w:val="hybridMultilevel"/>
    <w:tmpl w:val="0290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8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32"/>
  </w:num>
  <w:num w:numId="9">
    <w:abstractNumId w:val="16"/>
  </w:num>
  <w:num w:numId="10">
    <w:abstractNumId w:val="31"/>
  </w:num>
  <w:num w:numId="11">
    <w:abstractNumId w:val="24"/>
  </w:num>
  <w:num w:numId="12">
    <w:abstractNumId w:val="25"/>
  </w:num>
  <w:num w:numId="13">
    <w:abstractNumId w:val="23"/>
  </w:num>
  <w:num w:numId="14">
    <w:abstractNumId w:val="4"/>
  </w:num>
  <w:num w:numId="15">
    <w:abstractNumId w:val="29"/>
  </w:num>
  <w:num w:numId="16">
    <w:abstractNumId w:val="9"/>
  </w:num>
  <w:num w:numId="17">
    <w:abstractNumId w:val="3"/>
  </w:num>
  <w:num w:numId="18">
    <w:abstractNumId w:val="20"/>
  </w:num>
  <w:num w:numId="19">
    <w:abstractNumId w:val="33"/>
  </w:num>
  <w:num w:numId="20">
    <w:abstractNumId w:val="9"/>
  </w:num>
  <w:num w:numId="21">
    <w:abstractNumId w:val="30"/>
  </w:num>
  <w:num w:numId="22">
    <w:abstractNumId w:val="7"/>
  </w:num>
  <w:num w:numId="23">
    <w:abstractNumId w:val="14"/>
  </w:num>
  <w:num w:numId="24">
    <w:abstractNumId w:val="10"/>
  </w:num>
  <w:num w:numId="25">
    <w:abstractNumId w:val="13"/>
  </w:num>
  <w:num w:numId="26">
    <w:abstractNumId w:val="1"/>
  </w:num>
  <w:num w:numId="27">
    <w:abstractNumId w:val="22"/>
  </w:num>
  <w:num w:numId="28">
    <w:abstractNumId w:val="21"/>
  </w:num>
  <w:num w:numId="29">
    <w:abstractNumId w:val="34"/>
  </w:num>
  <w:num w:numId="30">
    <w:abstractNumId w:val="11"/>
  </w:num>
  <w:num w:numId="31">
    <w:abstractNumId w:val="2"/>
  </w:num>
  <w:num w:numId="32">
    <w:abstractNumId w:val="26"/>
  </w:num>
  <w:num w:numId="33">
    <w:abstractNumId w:val="19"/>
  </w:num>
  <w:num w:numId="34">
    <w:abstractNumId w:val="18"/>
  </w:num>
  <w:num w:numId="35">
    <w:abstractNumId w:val="5"/>
  </w:num>
  <w:num w:numId="36">
    <w:abstractNumId w:val="27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71"/>
    <w:rsid w:val="0000412F"/>
    <w:rsid w:val="00010BEF"/>
    <w:rsid w:val="00027D48"/>
    <w:rsid w:val="0003199A"/>
    <w:rsid w:val="000365BD"/>
    <w:rsid w:val="0004180D"/>
    <w:rsid w:val="0007542C"/>
    <w:rsid w:val="00075A4B"/>
    <w:rsid w:val="00075B4C"/>
    <w:rsid w:val="0009333C"/>
    <w:rsid w:val="000A4665"/>
    <w:rsid w:val="000A7D5B"/>
    <w:rsid w:val="000B6943"/>
    <w:rsid w:val="000E0AA4"/>
    <w:rsid w:val="000F03F9"/>
    <w:rsid w:val="00104439"/>
    <w:rsid w:val="0012574D"/>
    <w:rsid w:val="001410EA"/>
    <w:rsid w:val="00141FF0"/>
    <w:rsid w:val="001453D2"/>
    <w:rsid w:val="00151AAB"/>
    <w:rsid w:val="00163E8C"/>
    <w:rsid w:val="0017741B"/>
    <w:rsid w:val="00184223"/>
    <w:rsid w:val="00184ABC"/>
    <w:rsid w:val="001B1B20"/>
    <w:rsid w:val="001B1DBA"/>
    <w:rsid w:val="001C4D31"/>
    <w:rsid w:val="001C520D"/>
    <w:rsid w:val="001D095E"/>
    <w:rsid w:val="001D4245"/>
    <w:rsid w:val="001D5B7A"/>
    <w:rsid w:val="001E2695"/>
    <w:rsid w:val="00231F23"/>
    <w:rsid w:val="00242520"/>
    <w:rsid w:val="00245635"/>
    <w:rsid w:val="0026073E"/>
    <w:rsid w:val="0027207A"/>
    <w:rsid w:val="0027645A"/>
    <w:rsid w:val="0028655C"/>
    <w:rsid w:val="002916E4"/>
    <w:rsid w:val="00295FA7"/>
    <w:rsid w:val="002C0FEF"/>
    <w:rsid w:val="002D1B45"/>
    <w:rsid w:val="002D43C5"/>
    <w:rsid w:val="002E250A"/>
    <w:rsid w:val="002F7E20"/>
    <w:rsid w:val="003019C6"/>
    <w:rsid w:val="00302E4B"/>
    <w:rsid w:val="00305D96"/>
    <w:rsid w:val="00315917"/>
    <w:rsid w:val="00315EC9"/>
    <w:rsid w:val="003258B7"/>
    <w:rsid w:val="00332CB4"/>
    <w:rsid w:val="0033410D"/>
    <w:rsid w:val="00344BC1"/>
    <w:rsid w:val="00362A27"/>
    <w:rsid w:val="003804F9"/>
    <w:rsid w:val="0039168C"/>
    <w:rsid w:val="00394348"/>
    <w:rsid w:val="00394674"/>
    <w:rsid w:val="003A4A50"/>
    <w:rsid w:val="003C773E"/>
    <w:rsid w:val="00400318"/>
    <w:rsid w:val="00401415"/>
    <w:rsid w:val="004015E3"/>
    <w:rsid w:val="00401A81"/>
    <w:rsid w:val="00434AAC"/>
    <w:rsid w:val="0044574C"/>
    <w:rsid w:val="00457615"/>
    <w:rsid w:val="004B5B81"/>
    <w:rsid w:val="004C540C"/>
    <w:rsid w:val="004D7007"/>
    <w:rsid w:val="004D7EB6"/>
    <w:rsid w:val="004E10DD"/>
    <w:rsid w:val="004E355E"/>
    <w:rsid w:val="004E53B2"/>
    <w:rsid w:val="004F6D77"/>
    <w:rsid w:val="00510A63"/>
    <w:rsid w:val="0052528C"/>
    <w:rsid w:val="00526275"/>
    <w:rsid w:val="00526EEB"/>
    <w:rsid w:val="0053155B"/>
    <w:rsid w:val="00533B12"/>
    <w:rsid w:val="00535D9A"/>
    <w:rsid w:val="00545675"/>
    <w:rsid w:val="005473E9"/>
    <w:rsid w:val="005521D4"/>
    <w:rsid w:val="0055455A"/>
    <w:rsid w:val="00590500"/>
    <w:rsid w:val="005B1B8E"/>
    <w:rsid w:val="005C1636"/>
    <w:rsid w:val="005D0257"/>
    <w:rsid w:val="005D47B6"/>
    <w:rsid w:val="005D5008"/>
    <w:rsid w:val="005D6115"/>
    <w:rsid w:val="005E21CA"/>
    <w:rsid w:val="00623808"/>
    <w:rsid w:val="006259F6"/>
    <w:rsid w:val="00626040"/>
    <w:rsid w:val="00646C85"/>
    <w:rsid w:val="00653BF3"/>
    <w:rsid w:val="00653D5F"/>
    <w:rsid w:val="00657FE3"/>
    <w:rsid w:val="006619CF"/>
    <w:rsid w:val="006673AD"/>
    <w:rsid w:val="00687A59"/>
    <w:rsid w:val="006B047C"/>
    <w:rsid w:val="006B118D"/>
    <w:rsid w:val="006C618C"/>
    <w:rsid w:val="006C7405"/>
    <w:rsid w:val="006E6BEA"/>
    <w:rsid w:val="00732902"/>
    <w:rsid w:val="007663D0"/>
    <w:rsid w:val="0076643E"/>
    <w:rsid w:val="00775862"/>
    <w:rsid w:val="00790B67"/>
    <w:rsid w:val="00795CE9"/>
    <w:rsid w:val="007A15D4"/>
    <w:rsid w:val="007A7205"/>
    <w:rsid w:val="00820469"/>
    <w:rsid w:val="008234F3"/>
    <w:rsid w:val="008335E9"/>
    <w:rsid w:val="00837906"/>
    <w:rsid w:val="00844924"/>
    <w:rsid w:val="00850045"/>
    <w:rsid w:val="00856DBF"/>
    <w:rsid w:val="00857D54"/>
    <w:rsid w:val="00880577"/>
    <w:rsid w:val="008C2FD2"/>
    <w:rsid w:val="008D7A97"/>
    <w:rsid w:val="008E6809"/>
    <w:rsid w:val="008F0868"/>
    <w:rsid w:val="009009F6"/>
    <w:rsid w:val="009122E3"/>
    <w:rsid w:val="009242AE"/>
    <w:rsid w:val="00925242"/>
    <w:rsid w:val="00932D65"/>
    <w:rsid w:val="00936427"/>
    <w:rsid w:val="00941ADB"/>
    <w:rsid w:val="00947747"/>
    <w:rsid w:val="00950073"/>
    <w:rsid w:val="00950AE6"/>
    <w:rsid w:val="0095509C"/>
    <w:rsid w:val="00970CC2"/>
    <w:rsid w:val="00976DC9"/>
    <w:rsid w:val="00986ABE"/>
    <w:rsid w:val="00991931"/>
    <w:rsid w:val="00996B4A"/>
    <w:rsid w:val="009B0934"/>
    <w:rsid w:val="009B7ED8"/>
    <w:rsid w:val="009C3C50"/>
    <w:rsid w:val="009C45E8"/>
    <w:rsid w:val="009C6A6F"/>
    <w:rsid w:val="009E7F1B"/>
    <w:rsid w:val="00A06367"/>
    <w:rsid w:val="00A20735"/>
    <w:rsid w:val="00A35667"/>
    <w:rsid w:val="00A5221B"/>
    <w:rsid w:val="00A7106B"/>
    <w:rsid w:val="00A73F55"/>
    <w:rsid w:val="00A92C8D"/>
    <w:rsid w:val="00A94AC1"/>
    <w:rsid w:val="00A96F49"/>
    <w:rsid w:val="00AB5678"/>
    <w:rsid w:val="00AC3D03"/>
    <w:rsid w:val="00AC48DF"/>
    <w:rsid w:val="00AC4931"/>
    <w:rsid w:val="00AD1923"/>
    <w:rsid w:val="00AD22F1"/>
    <w:rsid w:val="00AD5795"/>
    <w:rsid w:val="00AF3312"/>
    <w:rsid w:val="00AF6A8F"/>
    <w:rsid w:val="00AF7028"/>
    <w:rsid w:val="00AF7249"/>
    <w:rsid w:val="00B042D7"/>
    <w:rsid w:val="00B0573E"/>
    <w:rsid w:val="00B13779"/>
    <w:rsid w:val="00B30015"/>
    <w:rsid w:val="00B83B0C"/>
    <w:rsid w:val="00B92E89"/>
    <w:rsid w:val="00B96FB0"/>
    <w:rsid w:val="00BE6D75"/>
    <w:rsid w:val="00BF603E"/>
    <w:rsid w:val="00C12C1D"/>
    <w:rsid w:val="00C21870"/>
    <w:rsid w:val="00C22EDB"/>
    <w:rsid w:val="00C527FE"/>
    <w:rsid w:val="00CA5532"/>
    <w:rsid w:val="00CC14E7"/>
    <w:rsid w:val="00CF4398"/>
    <w:rsid w:val="00D0028C"/>
    <w:rsid w:val="00D102E9"/>
    <w:rsid w:val="00D142C2"/>
    <w:rsid w:val="00D27B8D"/>
    <w:rsid w:val="00D3770F"/>
    <w:rsid w:val="00D74B0F"/>
    <w:rsid w:val="00D82EB0"/>
    <w:rsid w:val="00DA02A9"/>
    <w:rsid w:val="00DA3B7C"/>
    <w:rsid w:val="00DB748F"/>
    <w:rsid w:val="00DC3849"/>
    <w:rsid w:val="00DD2D3D"/>
    <w:rsid w:val="00DD44BE"/>
    <w:rsid w:val="00DE2157"/>
    <w:rsid w:val="00DE7A8A"/>
    <w:rsid w:val="00DF47A0"/>
    <w:rsid w:val="00E1102F"/>
    <w:rsid w:val="00E25F73"/>
    <w:rsid w:val="00E3037E"/>
    <w:rsid w:val="00E3072C"/>
    <w:rsid w:val="00E375E8"/>
    <w:rsid w:val="00E60D81"/>
    <w:rsid w:val="00E64183"/>
    <w:rsid w:val="00E72ECB"/>
    <w:rsid w:val="00E866EC"/>
    <w:rsid w:val="00E967CF"/>
    <w:rsid w:val="00EA165F"/>
    <w:rsid w:val="00EA3D71"/>
    <w:rsid w:val="00EB0DF6"/>
    <w:rsid w:val="00EB2C49"/>
    <w:rsid w:val="00EC0C5A"/>
    <w:rsid w:val="00EC47FB"/>
    <w:rsid w:val="00EC60A0"/>
    <w:rsid w:val="00EE2D09"/>
    <w:rsid w:val="00EF4295"/>
    <w:rsid w:val="00F03F84"/>
    <w:rsid w:val="00F05611"/>
    <w:rsid w:val="00F10CC9"/>
    <w:rsid w:val="00F319B5"/>
    <w:rsid w:val="00F37BEE"/>
    <w:rsid w:val="00F4277E"/>
    <w:rsid w:val="00F43448"/>
    <w:rsid w:val="00F4748F"/>
    <w:rsid w:val="00F47DBD"/>
    <w:rsid w:val="00F6641F"/>
    <w:rsid w:val="00F837BC"/>
    <w:rsid w:val="00F846EB"/>
    <w:rsid w:val="00F875F0"/>
    <w:rsid w:val="00FA3B21"/>
    <w:rsid w:val="00FB4F2D"/>
    <w:rsid w:val="00FC7DD3"/>
    <w:rsid w:val="00FF14E9"/>
    <w:rsid w:val="00FF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D71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EA3D71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EA3D71"/>
    <w:pPr>
      <w:keepNext/>
      <w:ind w:left="426"/>
      <w:jc w:val="center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EA3D71"/>
    <w:pPr>
      <w:keepNext/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EA3D71"/>
    <w:pPr>
      <w:keepNext/>
      <w:jc w:val="center"/>
      <w:outlineLvl w:val="4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D71"/>
    <w:pPr>
      <w:spacing w:before="100" w:beforeAutospacing="1" w:after="100" w:afterAutospacing="1"/>
    </w:pPr>
  </w:style>
  <w:style w:type="paragraph" w:styleId="a5">
    <w:name w:val="Body Text Indent"/>
    <w:basedOn w:val="a"/>
    <w:rsid w:val="00EA3D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EA3D71"/>
    <w:pPr>
      <w:spacing w:before="100" w:beforeAutospacing="1" w:after="100" w:afterAutospacing="1"/>
    </w:pPr>
  </w:style>
  <w:style w:type="paragraph" w:styleId="a6">
    <w:name w:val="Title"/>
    <w:basedOn w:val="a"/>
    <w:qFormat/>
    <w:rsid w:val="00EA3D71"/>
    <w:pPr>
      <w:jc w:val="center"/>
    </w:pPr>
    <w:rPr>
      <w:b/>
      <w:sz w:val="28"/>
      <w:szCs w:val="20"/>
    </w:rPr>
  </w:style>
  <w:style w:type="paragraph" w:styleId="a7">
    <w:name w:val="Balloon Text"/>
    <w:basedOn w:val="a"/>
    <w:semiHidden/>
    <w:rsid w:val="00EA3D71"/>
    <w:rPr>
      <w:rFonts w:ascii="Tahoma" w:hAnsi="Tahoma" w:cs="Tahoma"/>
      <w:sz w:val="16"/>
      <w:szCs w:val="16"/>
    </w:rPr>
  </w:style>
  <w:style w:type="paragraph" w:styleId="a8">
    <w:name w:val="envelope address"/>
    <w:basedOn w:val="a"/>
    <w:rsid w:val="00EA3D7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/>
      <w:szCs w:val="20"/>
    </w:rPr>
  </w:style>
  <w:style w:type="paragraph" w:customStyle="1" w:styleId="ConsPlusNormal">
    <w:name w:val="ConsPlusNormal"/>
    <w:rsid w:val="00EA3D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EA3D71"/>
    <w:rPr>
      <w:color w:val="0000FF"/>
      <w:u w:val="single"/>
    </w:rPr>
  </w:style>
  <w:style w:type="character" w:customStyle="1" w:styleId="22">
    <w:name w:val="Основной текст 2 Знак"/>
    <w:link w:val="21"/>
    <w:rsid w:val="00EA3D71"/>
    <w:rPr>
      <w:sz w:val="24"/>
      <w:szCs w:val="24"/>
    </w:rPr>
  </w:style>
  <w:style w:type="table" w:styleId="23">
    <w:name w:val="Table Classic 2"/>
    <w:basedOn w:val="a1"/>
    <w:rsid w:val="00EA3D7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rsid w:val="00EA3D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lassic 3"/>
    <w:basedOn w:val="a1"/>
    <w:rsid w:val="00EA3D7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EA3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EA3D71"/>
    <w:rPr>
      <w:sz w:val="24"/>
      <w:szCs w:val="24"/>
    </w:rPr>
  </w:style>
  <w:style w:type="paragraph" w:customStyle="1" w:styleId="rezul">
    <w:name w:val="rezul"/>
    <w:basedOn w:val="a"/>
    <w:rsid w:val="00EA3D71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b">
    <w:name w:val="Normal (Web)"/>
    <w:basedOn w:val="a"/>
    <w:uiPriority w:val="99"/>
    <w:rsid w:val="00EA3D71"/>
  </w:style>
  <w:style w:type="paragraph" w:customStyle="1" w:styleId="TextBoldCenter">
    <w:name w:val="TextBoldCenter"/>
    <w:basedOn w:val="a"/>
    <w:rsid w:val="00EA3D7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c">
    <w:name w:val="No Spacing"/>
    <w:link w:val="ad"/>
    <w:uiPriority w:val="99"/>
    <w:qFormat/>
    <w:rsid w:val="00EA3D71"/>
    <w:rPr>
      <w:rFonts w:ascii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A3D7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EA3D71"/>
    <w:rPr>
      <w:sz w:val="16"/>
      <w:szCs w:val="16"/>
    </w:rPr>
  </w:style>
  <w:style w:type="paragraph" w:styleId="24">
    <w:name w:val="Body Text Indent 2"/>
    <w:basedOn w:val="a"/>
    <w:link w:val="25"/>
    <w:rsid w:val="00EA3D7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EA3D71"/>
    <w:rPr>
      <w:sz w:val="24"/>
      <w:szCs w:val="24"/>
    </w:rPr>
  </w:style>
  <w:style w:type="character" w:styleId="ae">
    <w:name w:val="Strong"/>
    <w:uiPriority w:val="22"/>
    <w:qFormat/>
    <w:rsid w:val="00EA3D71"/>
    <w:rPr>
      <w:b/>
      <w:bCs/>
    </w:rPr>
  </w:style>
  <w:style w:type="paragraph" w:styleId="af">
    <w:name w:val="header"/>
    <w:basedOn w:val="a"/>
    <w:link w:val="af0"/>
    <w:rsid w:val="00EA3D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EA3D71"/>
    <w:rPr>
      <w:sz w:val="24"/>
      <w:szCs w:val="24"/>
    </w:rPr>
  </w:style>
  <w:style w:type="paragraph" w:styleId="af1">
    <w:name w:val="footer"/>
    <w:basedOn w:val="a"/>
    <w:link w:val="af2"/>
    <w:rsid w:val="00EA3D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EA3D71"/>
    <w:rPr>
      <w:sz w:val="24"/>
      <w:szCs w:val="24"/>
    </w:rPr>
  </w:style>
  <w:style w:type="character" w:customStyle="1" w:styleId="ad">
    <w:name w:val="Без интервала Знак"/>
    <w:link w:val="ac"/>
    <w:uiPriority w:val="99"/>
    <w:locked/>
    <w:rsid w:val="00EA3D71"/>
    <w:rPr>
      <w:rFonts w:ascii="Calibri" w:hAnsi="Calibri"/>
      <w:sz w:val="22"/>
      <w:szCs w:val="22"/>
      <w:lang w:eastAsia="en-US" w:bidi="ar-SA"/>
    </w:rPr>
  </w:style>
  <w:style w:type="paragraph" w:customStyle="1" w:styleId="210">
    <w:name w:val="Основной текст с отступом 21"/>
    <w:basedOn w:val="a"/>
    <w:rsid w:val="00EA3D71"/>
    <w:pPr>
      <w:widowControl w:val="0"/>
      <w:ind w:firstLine="426"/>
    </w:pPr>
    <w:rPr>
      <w:szCs w:val="20"/>
    </w:rPr>
  </w:style>
  <w:style w:type="paragraph" w:customStyle="1" w:styleId="af3">
    <w:name w:val="Знак"/>
    <w:basedOn w:val="a"/>
    <w:rsid w:val="00EA3D71"/>
    <w:pPr>
      <w:tabs>
        <w:tab w:val="num" w:pos="567"/>
      </w:tabs>
      <w:spacing w:after="120" w:line="312" w:lineRule="auto"/>
      <w:jc w:val="both"/>
    </w:pPr>
    <w:rPr>
      <w:lang w:val="en-US" w:eastAsia="en-US"/>
    </w:rPr>
  </w:style>
  <w:style w:type="paragraph" w:customStyle="1" w:styleId="af4">
    <w:name w:val="Таблицы (моноширинный)"/>
    <w:basedOn w:val="a"/>
    <w:next w:val="a"/>
    <w:rsid w:val="00EA3D7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A3D71"/>
    <w:rPr>
      <w:b/>
      <w:sz w:val="24"/>
    </w:rPr>
  </w:style>
  <w:style w:type="character" w:customStyle="1" w:styleId="20">
    <w:name w:val="Заголовок 2 Знак"/>
    <w:basedOn w:val="a0"/>
    <w:link w:val="2"/>
    <w:rsid w:val="00EA3D71"/>
    <w:rPr>
      <w:sz w:val="24"/>
    </w:rPr>
  </w:style>
  <w:style w:type="character" w:customStyle="1" w:styleId="30">
    <w:name w:val="Заголовок 3 Знак"/>
    <w:basedOn w:val="a0"/>
    <w:link w:val="3"/>
    <w:rsid w:val="00EA3D71"/>
    <w:rPr>
      <w:b/>
      <w:bCs/>
      <w:sz w:val="24"/>
    </w:rPr>
  </w:style>
  <w:style w:type="character" w:customStyle="1" w:styleId="40">
    <w:name w:val="Заголовок 4 Знак"/>
    <w:basedOn w:val="a0"/>
    <w:link w:val="4"/>
    <w:rsid w:val="00EA3D71"/>
    <w:rPr>
      <w:b/>
    </w:rPr>
  </w:style>
  <w:style w:type="character" w:customStyle="1" w:styleId="50">
    <w:name w:val="Заголовок 5 Знак"/>
    <w:basedOn w:val="a0"/>
    <w:link w:val="5"/>
    <w:rsid w:val="00EA3D71"/>
    <w:rPr>
      <w:b/>
      <w:sz w:val="18"/>
    </w:rPr>
  </w:style>
  <w:style w:type="paragraph" w:styleId="34">
    <w:name w:val="Body Text 3"/>
    <w:basedOn w:val="a"/>
    <w:link w:val="35"/>
    <w:rsid w:val="00EA3D71"/>
    <w:pPr>
      <w:jc w:val="center"/>
    </w:pPr>
    <w:rPr>
      <w:b/>
      <w:sz w:val="18"/>
      <w:szCs w:val="20"/>
    </w:rPr>
  </w:style>
  <w:style w:type="character" w:customStyle="1" w:styleId="35">
    <w:name w:val="Основной текст 3 Знак"/>
    <w:basedOn w:val="a0"/>
    <w:link w:val="34"/>
    <w:rsid w:val="00EA3D71"/>
    <w:rPr>
      <w:b/>
      <w:sz w:val="18"/>
    </w:rPr>
  </w:style>
  <w:style w:type="paragraph" w:customStyle="1" w:styleId="310">
    <w:name w:val="Основной текст с отступом 31"/>
    <w:basedOn w:val="a"/>
    <w:rsid w:val="00EA3D71"/>
    <w:pPr>
      <w:widowControl w:val="0"/>
      <w:ind w:firstLine="360"/>
      <w:jc w:val="both"/>
    </w:pPr>
    <w:rPr>
      <w:szCs w:val="20"/>
    </w:rPr>
  </w:style>
  <w:style w:type="paragraph" w:styleId="af5">
    <w:name w:val="Subtitle"/>
    <w:basedOn w:val="a"/>
    <w:link w:val="af6"/>
    <w:qFormat/>
    <w:rsid w:val="00EA3D71"/>
    <w:pPr>
      <w:jc w:val="both"/>
    </w:pPr>
    <w:rPr>
      <w:szCs w:val="20"/>
    </w:rPr>
  </w:style>
  <w:style w:type="character" w:customStyle="1" w:styleId="af6">
    <w:name w:val="Подзаголовок Знак"/>
    <w:basedOn w:val="a0"/>
    <w:link w:val="af5"/>
    <w:rsid w:val="00EA3D71"/>
    <w:rPr>
      <w:sz w:val="24"/>
    </w:rPr>
  </w:style>
  <w:style w:type="paragraph" w:customStyle="1" w:styleId="26">
    <w:name w:val="Знак2"/>
    <w:basedOn w:val="a"/>
    <w:rsid w:val="00EA3D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Знак21"/>
    <w:basedOn w:val="a"/>
    <w:rsid w:val="00EA3D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eadDoc">
    <w:name w:val="HeadDoc"/>
    <w:rsid w:val="00EA3D71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f7">
    <w:name w:val="caption"/>
    <w:basedOn w:val="a"/>
    <w:next w:val="a"/>
    <w:qFormat/>
    <w:rsid w:val="00EA3D71"/>
    <w:pPr>
      <w:jc w:val="center"/>
    </w:pPr>
    <w:rPr>
      <w:b/>
      <w:sz w:val="32"/>
      <w:szCs w:val="20"/>
    </w:rPr>
  </w:style>
  <w:style w:type="character" w:customStyle="1" w:styleId="Bodytext2">
    <w:name w:val="Body text (2)"/>
    <w:basedOn w:val="a0"/>
    <w:rsid w:val="00EA3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">
    <w:name w:val="Body text (2) + 11 pt"/>
    <w:basedOn w:val="a0"/>
    <w:rsid w:val="00EA3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IntenseQuoteChar">
    <w:name w:val="Intense Quote Char"/>
    <w:uiPriority w:val="30"/>
    <w:rsid w:val="00687A59"/>
    <w:rPr>
      <w:i/>
    </w:rPr>
  </w:style>
  <w:style w:type="paragraph" w:styleId="af8">
    <w:name w:val="Intense Quote"/>
    <w:basedOn w:val="a"/>
    <w:next w:val="a"/>
    <w:link w:val="af9"/>
    <w:uiPriority w:val="30"/>
    <w:qFormat/>
    <w:rsid w:val="00687A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sid w:val="00687A59"/>
    <w:rPr>
      <w:i/>
      <w:shd w:val="clear" w:color="auto" w:fill="F2F2F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87A5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87A59"/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0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49DD4-C00B-4CC0-859A-40E14565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12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государственного имущества и земельных ресурсов Нижегородской области</vt:lpstr>
    </vt:vector>
  </TitlesOfParts>
  <Company>Microsoft</Company>
  <LinksUpToDate>false</LinksUpToDate>
  <CharactersWithSpaces>31734</CharactersWithSpaces>
  <SharedDoc>false</SharedDoc>
  <HLinks>
    <vt:vector size="24" baseType="variant">
      <vt:variant>
        <vt:i4>786522</vt:i4>
      </vt:variant>
      <vt:variant>
        <vt:i4>9</vt:i4>
      </vt:variant>
      <vt:variant>
        <vt:i4>0</vt:i4>
      </vt:variant>
      <vt:variant>
        <vt:i4>5</vt:i4>
      </vt:variant>
      <vt:variant>
        <vt:lpwstr>http://www.etp-torgi.ru/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327793</vt:i4>
      </vt:variant>
      <vt:variant>
        <vt:i4>0</vt:i4>
      </vt:variant>
      <vt:variant>
        <vt:i4>0</vt:i4>
      </vt:variant>
      <vt:variant>
        <vt:i4>5</vt:i4>
      </vt:variant>
      <vt:variant>
        <vt:lpwstr>mailto:kugi@admgor.nnov.ru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государственного имущества и земельных ресурсов Нижегородской области</dc:title>
  <dc:creator>lep</dc:creator>
  <cp:lastModifiedBy>s.timicheva</cp:lastModifiedBy>
  <cp:revision>8</cp:revision>
  <cp:lastPrinted>2026-05-06T07:56:00Z</cp:lastPrinted>
  <dcterms:created xsi:type="dcterms:W3CDTF">2026-05-05T12:21:00Z</dcterms:created>
  <dcterms:modified xsi:type="dcterms:W3CDTF">2026-05-08T12:58:00Z</dcterms:modified>
</cp:coreProperties>
</file>