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18</w:t>
      </w:r>
      <w:r>
        <w:rPr>
          <w:b/>
          <w:color w:val="000000"/>
          <w:sz w:val="26"/>
          <w:szCs w:val="26"/>
        </w:rPr>
        <w:t xml:space="preserve">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02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июля</w:t>
      </w:r>
      <w:r>
        <w:rPr>
          <w:b/>
          <w:sz w:val="30"/>
          <w:szCs w:val="30"/>
          <w:u w:val="single"/>
        </w:rPr>
        <w:t xml:space="preserve">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tbl>
      <w:tblPr>
        <w:tblW w:w="15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"/>
        <w:gridCol w:w="1766"/>
        <w:gridCol w:w="1844"/>
        <w:gridCol w:w="681"/>
        <w:gridCol w:w="993"/>
        <w:gridCol w:w="890"/>
        <w:gridCol w:w="2376"/>
        <w:gridCol w:w="1259"/>
        <w:gridCol w:w="1288"/>
        <w:gridCol w:w="1328"/>
        <w:gridCol w:w="739"/>
        <w:gridCol w:w="660"/>
        <w:gridCol w:w="1256"/>
      </w:tblGrid>
      <w:tr>
        <w:tblPrEx/>
        <w:trPr>
          <w:jc w:val="center"/>
          <w:trHeight w:val="2524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Площадь земельного участка, кв</w:t>
            </w:r>
            <w:r>
              <w:rPr>
                <w:bCs/>
                <w:sz w:val="22"/>
                <w:szCs w:val="22"/>
              </w:rPr>
              <w:t xml:space="preserve">.м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Кадастровый номер земельного участка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Стоимость земельного участка (руб.) (НДС не облагается)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276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(подвал №1)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</w:t>
            </w:r>
            <w:r>
              <w:rPr>
                <w:sz w:val="22"/>
                <w:szCs w:val="22"/>
              </w:rPr>
              <w:t xml:space="preserve">Приокский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Гагарина,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108,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52:18:0080017:70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214,9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Имеются 2 совместных входа с пользователями других помещений через подъезды жилого дома.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5 303 947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530 394,7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265 197,35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-</w:t>
            </w:r>
            <w:r>
              <w:rPr>
                <w:rStyle w:val="931"/>
                <w:sz w:val="22"/>
                <w:szCs w:val="22"/>
              </w:rPr>
            </w:r>
          </w:p>
        </w:tc>
      </w:tr>
      <w:tr>
        <w:tblPrEx/>
        <w:trPr>
          <w:jc w:val="center"/>
          <w:trHeight w:val="2819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(водонапорная башня) (количество этажей: 1, в том числе подземных 0)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городской округ город Нижний Новгород, город Нижний Новгород, улица </w:t>
            </w:r>
            <w:r>
              <w:rPr>
                <w:sz w:val="22"/>
                <w:szCs w:val="22"/>
              </w:rPr>
              <w:t xml:space="preserve">Заслонова</w:t>
            </w:r>
            <w:r>
              <w:rPr>
                <w:sz w:val="22"/>
                <w:szCs w:val="22"/>
              </w:rPr>
              <w:t xml:space="preserve">, дом 2б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52:18:0040610:19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24,5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1966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отдельно стоящее одноэтажное здание. Имеется один вход.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2 484 652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248 465,2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124 232,6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204,0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52:18:0040610:7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931"/>
                <w:b/>
                <w:sz w:val="22"/>
                <w:szCs w:val="22"/>
              </w:rPr>
            </w:pPr>
            <w:r>
              <w:rPr>
                <w:rStyle w:val="931"/>
                <w:b/>
                <w:sz w:val="22"/>
                <w:szCs w:val="22"/>
              </w:rPr>
              <w:t xml:space="preserve">716 040</w:t>
            </w:r>
            <w:r>
              <w:rPr>
                <w:rStyle w:val="931"/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124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r>
              <w:rPr>
                <w:sz w:val="22"/>
                <w:szCs w:val="22"/>
              </w:rPr>
              <w:t xml:space="preserve">обл</w:t>
            </w:r>
            <w:r>
              <w:rPr>
                <w:sz w:val="22"/>
                <w:szCs w:val="22"/>
              </w:rPr>
              <w:t xml:space="preserve">, г Нижний Новгород, </w:t>
            </w:r>
            <w:r>
              <w:rPr>
                <w:sz w:val="22"/>
                <w:szCs w:val="22"/>
              </w:rPr>
              <w:t xml:space="preserve">ш</w:t>
            </w:r>
            <w:r>
              <w:rPr>
                <w:sz w:val="22"/>
                <w:szCs w:val="22"/>
              </w:rPr>
              <w:t xml:space="preserve"> Московское, дом 191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52:18:0020105:391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Имеются два совместных входа через подъезды №№ 1 и 2.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7 117 919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711 791,9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355 895,95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-</w:t>
            </w:r>
            <w:r>
              <w:rPr>
                <w:rStyle w:val="931"/>
                <w:sz w:val="22"/>
                <w:szCs w:val="22"/>
              </w:rPr>
            </w:r>
          </w:p>
        </w:tc>
      </w:tr>
      <w:tr>
        <w:tblPrEx/>
        <w:trPr>
          <w:jc w:val="center"/>
          <w:trHeight w:val="2099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4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(подвал № </w:t>
            </w:r>
            <w:r>
              <w:rPr>
                <w:sz w:val="22"/>
                <w:szCs w:val="22"/>
              </w:rPr>
              <w:t xml:space="preserve">подвал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Московский, </w:t>
            </w:r>
            <w:r>
              <w:rPr>
                <w:sz w:val="22"/>
                <w:szCs w:val="22"/>
              </w:rPr>
              <w:t xml:space="preserve">ш</w:t>
            </w:r>
            <w:r>
              <w:rPr>
                <w:sz w:val="22"/>
                <w:szCs w:val="22"/>
              </w:rPr>
              <w:t xml:space="preserve"> Московское,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199,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52:18:0020105:1226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80,2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1958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 Имеются 2 </w:t>
            </w:r>
            <w:r>
              <w:rPr>
                <w:sz w:val="22"/>
                <w:szCs w:val="22"/>
              </w:rPr>
              <w:t xml:space="preserve">отдельных</w:t>
            </w:r>
            <w:r>
              <w:rPr>
                <w:sz w:val="22"/>
                <w:szCs w:val="22"/>
              </w:rPr>
              <w:t xml:space="preserve"> входа.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3 248 742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324 874,2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162 437,1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-</w:t>
            </w:r>
            <w:r>
              <w:rPr>
                <w:rStyle w:val="931"/>
                <w:sz w:val="22"/>
                <w:szCs w:val="22"/>
              </w:rPr>
            </w:r>
          </w:p>
        </w:tc>
      </w:tr>
      <w:tr>
        <w:tblPrEx/>
        <w:trPr>
          <w:jc w:val="center"/>
          <w:trHeight w:val="1689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5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(подвал № </w:t>
            </w:r>
            <w:r>
              <w:rPr>
                <w:sz w:val="22"/>
                <w:szCs w:val="22"/>
              </w:rPr>
              <w:t xml:space="preserve">подвал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 Нижний Новгород, </w:t>
            </w:r>
            <w:r>
              <w:rPr>
                <w:sz w:val="22"/>
                <w:szCs w:val="22"/>
              </w:rPr>
              <w:t xml:space="preserve">ш</w:t>
            </w:r>
            <w:r>
              <w:rPr>
                <w:sz w:val="22"/>
                <w:szCs w:val="22"/>
              </w:rPr>
              <w:t xml:space="preserve">. Московское, д. 199,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. П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52:18:0020105:1225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21,1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1958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 Имеются 2 </w:t>
            </w:r>
            <w:r>
              <w:rPr>
                <w:sz w:val="22"/>
                <w:szCs w:val="22"/>
              </w:rPr>
              <w:t xml:space="preserve">отдельных</w:t>
            </w:r>
            <w:r>
              <w:rPr>
                <w:sz w:val="22"/>
                <w:szCs w:val="22"/>
              </w:rPr>
              <w:t xml:space="preserve"> входа.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1 055 000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105 500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52 750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-</w:t>
            </w:r>
            <w:r>
              <w:rPr>
                <w:rStyle w:val="931"/>
                <w:sz w:val="22"/>
                <w:szCs w:val="22"/>
              </w:rPr>
            </w:r>
          </w:p>
        </w:tc>
      </w:tr>
      <w:tr>
        <w:tblPrEx/>
        <w:trPr>
          <w:jc w:val="center"/>
          <w:trHeight w:val="2549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6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.Н</w:t>
            </w:r>
            <w:r>
              <w:rPr>
                <w:sz w:val="22"/>
                <w:szCs w:val="22"/>
              </w:rPr>
              <w:t xml:space="preserve">ижний Новгород, Советский район,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Гагарина, д.14,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52:18:0070048:59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138,9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1956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четырехэтажного жилого дома. Имеются два совместных входа с пользователями других жилых помещений через подъезды №№ 2 и 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7 667 280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766 728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383 364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-</w:t>
            </w:r>
            <w:r>
              <w:rPr>
                <w:rStyle w:val="931"/>
                <w:sz w:val="22"/>
                <w:szCs w:val="22"/>
              </w:rPr>
            </w:r>
          </w:p>
        </w:tc>
      </w:tr>
      <w:tr>
        <w:tblPrEx/>
        <w:trPr>
          <w:jc w:val="center"/>
          <w:trHeight w:val="2119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7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(подвал №1)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.Н</w:t>
            </w:r>
            <w:r>
              <w:rPr>
                <w:sz w:val="22"/>
                <w:szCs w:val="22"/>
              </w:rPr>
              <w:t xml:space="preserve">ижний Новгород, Московский район, ул.Евгения Никонова, д.7/24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52:18:0020076:150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137,2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четырехэтажного жилого дома. Вход совместный с пользователями других нежилых помещений.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5 402 113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540 211,3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270 105,65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-</w:t>
            </w:r>
            <w:r>
              <w:rPr>
                <w:rStyle w:val="931"/>
                <w:sz w:val="22"/>
                <w:szCs w:val="22"/>
              </w:rPr>
            </w:r>
          </w:p>
        </w:tc>
      </w:tr>
      <w:tr>
        <w:tblPrEx/>
        <w:trPr>
          <w:jc w:val="center"/>
          <w:trHeight w:val="2099" w:hRule="exact"/>
        </w:trPr>
        <w:tc>
          <w:tcPr>
            <w:shd w:val="clear" w:color="auto" w:fill="ffffff"/>
            <w:tcW w:w="47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  <w:lang w:eastAsia="en-US" w:bidi="en-US"/>
              </w:rPr>
            </w:pPr>
            <w:r>
              <w:rPr>
                <w:rStyle w:val="931"/>
                <w:sz w:val="22"/>
                <w:szCs w:val="22"/>
                <w:lang w:eastAsia="en-US" w:bidi="en-US"/>
              </w:rPr>
              <w:t xml:space="preserve">8</w:t>
            </w:r>
            <w:r>
              <w:rPr>
                <w:rStyle w:val="931"/>
                <w:sz w:val="22"/>
                <w:szCs w:val="22"/>
                <w:lang w:eastAsia="en-US" w:bidi="en-US"/>
              </w:rPr>
            </w:r>
          </w:p>
        </w:tc>
        <w:tc>
          <w:tcPr>
            <w:shd w:val="clear" w:color="auto" w:fill="ffffff"/>
            <w:tcW w:w="176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(подвал № 1)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184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</w:t>
            </w:r>
            <w:r>
              <w:rPr>
                <w:sz w:val="22"/>
                <w:szCs w:val="22"/>
              </w:rPr>
              <w:t xml:space="preserve">Сормовский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Федосеенко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П2а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8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52:18:0010536:240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344,4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89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1972</w:t>
            </w:r>
            <w:r>
              <w:rPr>
                <w:rStyle w:val="931"/>
                <w:sz w:val="22"/>
                <w:szCs w:val="22"/>
              </w:rPr>
            </w:r>
          </w:p>
        </w:tc>
        <w:tc>
          <w:tcPr>
            <w:shd w:val="clear" w:color="auto" w:fill="ffffff"/>
            <w:tcW w:w="23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отдельный.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10 332 000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2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1 033 200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32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516 600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73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931"/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-</w:t>
            </w:r>
            <w:r>
              <w:rPr>
                <w:rStyle w:val="931"/>
                <w:sz w:val="22"/>
                <w:szCs w:val="22"/>
              </w:rPr>
            </w:r>
          </w:p>
        </w:tc>
      </w:tr>
    </w:tbl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bCs/>
          <w:sz w:val="26"/>
          <w:szCs w:val="26"/>
        </w:rPr>
      </w:r>
    </w:p>
    <w:p>
      <w:pPr>
        <w:pStyle w:val="90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</w:t>
      </w:r>
      <w:r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1, 3-8</w:t>
      </w:r>
      <w:r>
        <w:rPr>
          <w:b/>
          <w:sz w:val="26"/>
          <w:szCs w:val="26"/>
        </w:rPr>
        <w:t xml:space="preserve">: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лоту № </w:t>
      </w:r>
      <w:r>
        <w:rPr>
          <w:b/>
          <w:sz w:val="26"/>
          <w:szCs w:val="26"/>
          <w:u w:val="single"/>
        </w:rPr>
        <w:t xml:space="preserve">2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</w:t>
      </w:r>
      <w:r>
        <w:rPr>
          <w:b/>
          <w:sz w:val="26"/>
          <w:szCs w:val="26"/>
        </w:rPr>
        <w:t xml:space="preserve"> соответствии со ст. 28 ФЗ «О</w:t>
      </w:r>
      <w:r>
        <w:rPr>
          <w:b/>
          <w:sz w:val="26"/>
          <w:szCs w:val="26"/>
        </w:rPr>
        <w:t xml:space="preserve"> приватизации государственного и муниципального имущества» № 178-ФЗ от 21.12.2001 г.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бъект недвижимости расположен на земельном участке с кадастровым номером </w:t>
      </w:r>
      <w:r>
        <w:rPr>
          <w:b/>
          <w:sz w:val="26"/>
          <w:szCs w:val="26"/>
        </w:rPr>
        <w:t xml:space="preserve">52:18:0040610:7</w:t>
      </w:r>
      <w:r>
        <w:rPr>
          <w:b/>
          <w:sz w:val="26"/>
          <w:szCs w:val="26"/>
        </w:rPr>
        <w:t xml:space="preserve">, площадь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204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кв</w:t>
      </w:r>
      <w:r>
        <w:rPr>
          <w:b/>
          <w:sz w:val="26"/>
          <w:szCs w:val="26"/>
        </w:rPr>
        <w:t xml:space="preserve">.м</w:t>
      </w:r>
      <w:r>
        <w:rPr>
          <w:b/>
          <w:sz w:val="26"/>
          <w:szCs w:val="26"/>
        </w:rPr>
        <w:t xml:space="preserve">, категория земель: земли населенных пунктов, виды разрешенного использования: </w:t>
      </w:r>
      <w:r>
        <w:rPr>
          <w:b/>
          <w:sz w:val="26"/>
          <w:szCs w:val="26"/>
        </w:rPr>
        <w:t xml:space="preserve">под здание водонапорной башни с прилегающей территорией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Стоимость земельного участка в размере </w:t>
      </w:r>
      <w:r>
        <w:rPr>
          <w:b/>
          <w:sz w:val="26"/>
          <w:szCs w:val="26"/>
        </w:rPr>
        <w:t xml:space="preserve">716 040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с</w:t>
      </w:r>
      <w:r>
        <w:rPr>
          <w:b/>
          <w:sz w:val="26"/>
          <w:szCs w:val="26"/>
        </w:rPr>
        <w:t xml:space="preserve">емьсот шестнадцать тысяч сорок</w:t>
      </w:r>
      <w:r>
        <w:rPr>
          <w:b/>
          <w:sz w:val="26"/>
          <w:szCs w:val="26"/>
        </w:rPr>
        <w:t xml:space="preserve">)</w:t>
      </w:r>
      <w:r>
        <w:rPr>
          <w:b/>
          <w:sz w:val="26"/>
          <w:szCs w:val="26"/>
        </w:rPr>
        <w:t xml:space="preserve"> рублей </w:t>
      </w:r>
      <w:r>
        <w:rPr>
          <w:b/>
          <w:sz w:val="26"/>
          <w:szCs w:val="26"/>
        </w:rPr>
        <w:t xml:space="preserve">оплачивается единовременным платежом победителем торгов </w:t>
      </w:r>
      <w:r>
        <w:rPr>
          <w:b/>
          <w:sz w:val="26"/>
          <w:szCs w:val="26"/>
        </w:rPr>
        <w:t xml:space="preserve">либо лицом, признанным единственным участником </w:t>
      </w:r>
      <w:r>
        <w:rPr>
          <w:b/>
          <w:sz w:val="26"/>
          <w:szCs w:val="26"/>
        </w:rPr>
        <w:t xml:space="preserve">торгов</w:t>
      </w:r>
      <w:r>
        <w:rPr>
          <w:b/>
          <w:sz w:val="26"/>
          <w:szCs w:val="26"/>
        </w:rPr>
        <w:t xml:space="preserve">,</w:t>
      </w:r>
      <w:r>
        <w:rPr>
          <w:b/>
          <w:sz w:val="26"/>
          <w:szCs w:val="26"/>
        </w:rPr>
        <w:t xml:space="preserve"> по договору купли-продажи муниципального имущества в течение 15 календарных дней </w:t>
      </w:r>
      <w:r>
        <w:rPr>
          <w:b/>
          <w:sz w:val="26"/>
          <w:szCs w:val="26"/>
        </w:rPr>
        <w:t xml:space="preserve">с даты заключения</w:t>
      </w:r>
      <w:r>
        <w:rPr>
          <w:b/>
          <w:sz w:val="26"/>
          <w:szCs w:val="26"/>
        </w:rPr>
        <w:t xml:space="preserve"> договора купли-продажи.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соответствии с Правилами землепользования и застройки города Нижнего Новгорода, утвержденными приказом </w:t>
      </w:r>
      <w:r>
        <w:rPr>
          <w:b/>
          <w:sz w:val="26"/>
          <w:szCs w:val="26"/>
        </w:rPr>
        <w:t xml:space="preserve">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 земельный участок расположен в границах территориальной зоны </w:t>
      </w: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*ТО-2 (зона реорганизации застройки в многофункциональную общественную застройку местного значения – городских районов и планировочных частей). К зонам реорганизации застройки относятся территории, д</w:t>
      </w:r>
      <w:r>
        <w:rPr>
          <w:b/>
          <w:sz w:val="26"/>
          <w:szCs w:val="26"/>
        </w:rPr>
        <w:t xml:space="preserve">ля которых Генеральным планом города Нижнего Новгорода предусмотрено изменение параметров и функции застройки. Освоение таких территорий осуществляется при обязательной подготовке документации по планировке территории в целях выбора наиболее эффективного и</w:t>
      </w:r>
      <w:r>
        <w:rPr>
          <w:b/>
          <w:sz w:val="26"/>
          <w:szCs w:val="26"/>
        </w:rPr>
        <w:t xml:space="preserve">спользования таких территорий. В настоящее время к основным видам разрешенного использования земельных участков отнесено всего три (предоставление коммунальных услуг (код 3.1.1), улично-дорожная сеть (код 12.0.1), благоустройство территории (код 12.0.2)).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Согласно данным государственной информационной системы обеспечения градостроительной деятельности Нижегородской области (дале</w:t>
      </w:r>
      <w:r>
        <w:rPr>
          <w:b/>
          <w:sz w:val="26"/>
          <w:szCs w:val="26"/>
        </w:rPr>
        <w:t xml:space="preserve">е-</w:t>
      </w:r>
      <w:r>
        <w:rPr>
          <w:b/>
          <w:sz w:val="26"/>
          <w:szCs w:val="26"/>
        </w:rPr>
        <w:t xml:space="preserve"> ГИСОГД НО) земельный участок с кадастровым номером 52:18:0040610:7 расположен в границах: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r>
        <w:rPr>
          <w:b/>
          <w:sz w:val="26"/>
          <w:szCs w:val="26"/>
        </w:rPr>
        <w:t xml:space="preserve">.О</w:t>
      </w:r>
      <w:r>
        <w:rPr>
          <w:b/>
          <w:sz w:val="26"/>
          <w:szCs w:val="26"/>
        </w:rPr>
        <w:t xml:space="preserve">ка (</w:t>
      </w:r>
      <w:r>
        <w:rPr>
          <w:b/>
          <w:sz w:val="26"/>
          <w:szCs w:val="26"/>
        </w:rPr>
        <w:t xml:space="preserve">Чебоксарское</w:t>
      </w:r>
      <w:r>
        <w:rPr>
          <w:b/>
          <w:sz w:val="26"/>
          <w:szCs w:val="26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наблюдений;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зоны санитарной охраны водозаборов (3 пояс), (подающих воду из поверхностного источника питьевого и хозяйственно-бытового водоснабжения - </w:t>
      </w:r>
      <w:r>
        <w:rPr>
          <w:b/>
          <w:sz w:val="26"/>
          <w:szCs w:val="26"/>
        </w:rPr>
        <w:t xml:space="preserve">Чебоксарское</w:t>
      </w:r>
      <w:r>
        <w:rPr>
          <w:b/>
          <w:sz w:val="26"/>
          <w:szCs w:val="26"/>
        </w:rPr>
        <w:t xml:space="preserve"> водохранилище: р</w:t>
      </w:r>
      <w:r>
        <w:rPr>
          <w:b/>
          <w:sz w:val="26"/>
          <w:szCs w:val="26"/>
        </w:rPr>
        <w:t xml:space="preserve">.О</w:t>
      </w:r>
      <w:r>
        <w:rPr>
          <w:b/>
          <w:sz w:val="26"/>
          <w:szCs w:val="26"/>
        </w:rPr>
        <w:t xml:space="preserve">ка, р.Волга);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экспериментальной авиации Нижний Новгород (Сормово) (</w:t>
      </w:r>
      <w:r>
        <w:rPr>
          <w:b/>
          <w:sz w:val="26"/>
          <w:szCs w:val="26"/>
        </w:rPr>
        <w:t xml:space="preserve">подзона</w:t>
      </w:r>
      <w:r>
        <w:rPr>
          <w:b/>
          <w:sz w:val="26"/>
          <w:szCs w:val="26"/>
        </w:rPr>
        <w:t xml:space="preserve"> 6, зона ограничений 10 км). Приказ </w:t>
      </w:r>
      <w:r>
        <w:rPr>
          <w:b/>
          <w:sz w:val="26"/>
          <w:szCs w:val="26"/>
        </w:rPr>
        <w:t xml:space="preserve">Минпромторга</w:t>
      </w:r>
      <w:r>
        <w:rPr>
          <w:b/>
          <w:sz w:val="26"/>
          <w:szCs w:val="26"/>
        </w:rPr>
        <w:t xml:space="preserve"> России "Об установлении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экспериментальной авиации Нижний Новгород (Сормово) в составе с 1 по 6 </w:t>
      </w:r>
      <w:r>
        <w:rPr>
          <w:b/>
          <w:sz w:val="26"/>
          <w:szCs w:val="26"/>
        </w:rPr>
        <w:t xml:space="preserve">подзону</w:t>
      </w:r>
      <w:r>
        <w:rPr>
          <w:b/>
          <w:sz w:val="26"/>
          <w:szCs w:val="26"/>
        </w:rPr>
        <w:t xml:space="preserve">" № 2669 от 18.06.2024;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Нижний Новгород (</w:t>
      </w:r>
      <w:r>
        <w:rPr>
          <w:b/>
          <w:sz w:val="26"/>
          <w:szCs w:val="26"/>
        </w:rPr>
        <w:t xml:space="preserve">Стригино</w:t>
      </w:r>
      <w:r>
        <w:rPr>
          <w:b/>
          <w:sz w:val="26"/>
          <w:szCs w:val="26"/>
        </w:rPr>
        <w:t xml:space="preserve">) (</w:t>
      </w:r>
      <w:r>
        <w:rPr>
          <w:b/>
          <w:sz w:val="26"/>
          <w:szCs w:val="26"/>
        </w:rPr>
        <w:t xml:space="preserve">подзона</w:t>
      </w:r>
      <w:r>
        <w:rPr>
          <w:b/>
          <w:sz w:val="26"/>
          <w:szCs w:val="26"/>
        </w:rPr>
        <w:t xml:space="preserve"> 6)(реестровый номер 52:00-6.1078). Приказ </w:t>
      </w:r>
      <w:r>
        <w:rPr>
          <w:b/>
          <w:sz w:val="26"/>
          <w:szCs w:val="26"/>
        </w:rPr>
        <w:t xml:space="preserve">Росавиации</w:t>
      </w:r>
      <w:r>
        <w:rPr>
          <w:b/>
          <w:sz w:val="26"/>
          <w:szCs w:val="26"/>
        </w:rPr>
        <w:t xml:space="preserve"> от 22.11.2023 №1052-П "О признании утратившим силу приказа Федерального агентства воздушного транспорта от 24 ноября 2021 г. №878-П";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гражданской авиации Нижний Новгород (</w:t>
      </w:r>
      <w:r>
        <w:rPr>
          <w:b/>
          <w:sz w:val="26"/>
          <w:szCs w:val="26"/>
        </w:rPr>
        <w:t xml:space="preserve">Стригино</w:t>
      </w:r>
      <w:r>
        <w:rPr>
          <w:b/>
          <w:sz w:val="26"/>
          <w:szCs w:val="26"/>
        </w:rPr>
        <w:t xml:space="preserve">) (</w:t>
      </w:r>
      <w:r>
        <w:rPr>
          <w:b/>
          <w:sz w:val="26"/>
          <w:szCs w:val="26"/>
        </w:rPr>
        <w:t xml:space="preserve">подзона</w:t>
      </w:r>
      <w:r>
        <w:rPr>
          <w:b/>
          <w:sz w:val="26"/>
          <w:szCs w:val="26"/>
        </w:rPr>
        <w:t xml:space="preserve"> 4, сектор 22), (</w:t>
      </w:r>
      <w:r>
        <w:rPr>
          <w:b/>
          <w:sz w:val="26"/>
          <w:szCs w:val="26"/>
        </w:rPr>
        <w:t xml:space="preserve">подзона</w:t>
      </w:r>
      <w:r>
        <w:rPr>
          <w:b/>
          <w:sz w:val="26"/>
          <w:szCs w:val="26"/>
        </w:rPr>
        <w:t xml:space="preserve"> 3, сектор 2). Приказ "Об установлении </w:t>
      </w:r>
      <w:r>
        <w:rPr>
          <w:b/>
          <w:sz w:val="26"/>
          <w:szCs w:val="26"/>
        </w:rPr>
        <w:t xml:space="preserve">приаэродромной</w:t>
      </w:r>
      <w:r>
        <w:rPr>
          <w:b/>
          <w:sz w:val="26"/>
          <w:szCs w:val="26"/>
        </w:rPr>
        <w:t xml:space="preserve"> территор</w:t>
      </w:r>
      <w:r>
        <w:rPr>
          <w:b/>
          <w:sz w:val="26"/>
          <w:szCs w:val="26"/>
        </w:rPr>
        <w:t xml:space="preserve">ии аэ</w:t>
      </w:r>
      <w:r>
        <w:rPr>
          <w:b/>
          <w:sz w:val="26"/>
          <w:szCs w:val="26"/>
        </w:rPr>
        <w:t xml:space="preserve">родрома гражданской авиации Нижний Новгород (</w:t>
      </w:r>
      <w:r>
        <w:rPr>
          <w:b/>
          <w:sz w:val="26"/>
          <w:szCs w:val="26"/>
        </w:rPr>
        <w:t xml:space="preserve">Стригино</w:t>
      </w:r>
      <w:r>
        <w:rPr>
          <w:b/>
          <w:sz w:val="26"/>
          <w:szCs w:val="26"/>
        </w:rPr>
        <w:t xml:space="preserve">)" № 954-П от 26.10.2023;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Согласно данным государственной информационной системы обеспечения градостроительной деятельности Нижегородской области (ГИСОГД НО) земельный участок с кадастровым номером 52:18:0040610:7 расположен в границах: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(менее 20%) проекта межевания территории в границах поселка Горбатовка в Автозаводском районе города Нижнего Новгорода, утвержденного постановлением администрации города Нижнего Новгорода №4080 от 27.07.2010.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</w:t>
      </w:r>
      <w:r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при и</w:t>
      </w:r>
      <w:r>
        <w:rPr>
          <w:b/>
          <w:sz w:val="26"/>
          <w:szCs w:val="26"/>
        </w:rPr>
        <w:t xml:space="preserve">спользовании земельного участка 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регламентами.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0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1-2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</w:t>
      </w:r>
      <w:r>
        <w:rPr>
          <w:color w:val="000000"/>
          <w:sz w:val="26"/>
          <w:szCs w:val="26"/>
        </w:rPr>
        <w:t xml:space="preserve">17.12.2025 № 135</w:t>
      </w:r>
      <w:r>
        <w:rPr>
          <w:color w:val="000000"/>
          <w:sz w:val="26"/>
          <w:szCs w:val="26"/>
        </w:rPr>
        <w:t xml:space="preserve"> и постановлением администрации города Нижнего Новгорода от </w:t>
      </w:r>
      <w:r>
        <w:rPr>
          <w:color w:val="000000"/>
          <w:sz w:val="26"/>
          <w:szCs w:val="26"/>
        </w:rPr>
        <w:t xml:space="preserve">29.01.2026 № 604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  <w:lang w:bidi="ru-RU"/>
        </w:rPr>
        <w:t xml:space="preserve">от  21.07.2025 №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5443861</w:t>
      </w:r>
      <w:r>
        <w:rPr>
          <w:color w:val="000000"/>
          <w:sz w:val="26"/>
          <w:szCs w:val="26"/>
          <w:lang w:bidi="ru-RU"/>
        </w:rPr>
        <w:t xml:space="preserve">, от 02.09.2025 № 5454210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3-7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  <w:lang w:bidi="ru-RU"/>
        </w:rPr>
        <w:t xml:space="preserve">от 23.07.2025 № 5444781, от 04.09.2025 № 5456209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8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Аукционы от 14.07.2025 № 5442829, от 01.09.2025 № 5453560 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13.05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25.06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25.06</w:t>
      </w:r>
      <w:r>
        <w:rPr>
          <w:sz w:val="26"/>
          <w:szCs w:val="26"/>
        </w:rPr>
        <w:t xml:space="preserve">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01.07</w:t>
      </w:r>
      <w:r>
        <w:rPr>
          <w:sz w:val="26"/>
          <w:szCs w:val="26"/>
        </w:rPr>
        <w:t xml:space="preserve">.</w:t>
      </w:r>
      <w:r>
        <w:rPr>
          <w:rFonts w:eastAsia="Calibri"/>
          <w:sz w:val="26"/>
          <w:szCs w:val="26"/>
        </w:rPr>
        <w:t xml:space="preserve">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</w:t>
      </w:r>
      <w:r>
        <w:rPr>
          <w:b/>
          <w:sz w:val="26"/>
          <w:szCs w:val="26"/>
          <w:u w:val="single"/>
        </w:rPr>
        <w:t xml:space="preserve">02.07</w:t>
      </w:r>
      <w:r>
        <w:rPr>
          <w:b/>
          <w:sz w:val="26"/>
          <w:szCs w:val="26"/>
          <w:u w:val="single"/>
        </w:rPr>
        <w:t xml:space="preserve">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</w:r>
      <w:r>
        <w:rPr>
          <w:rFonts w:eastAsia="Calibri"/>
          <w:b w:val="0"/>
          <w:sz w:val="26"/>
          <w:szCs w:val="26"/>
          <w:lang w:val="ru-RU"/>
        </w:rPr>
      </w:r>
    </w:p>
    <w:p>
      <w:pPr>
        <w:pStyle w:val="923"/>
        <w:ind w:firstLine="709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организации продаж и реализации имущества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оформления и содержания должны соответствовать требованиям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Задаток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для участия в аукционе служит обеспечением исполнения обязательства победителя аукциона, либо лица, признанного единственным участником аукциона, по заключению договора купли-продажи и оплате приобретенного на торгах имущества, вносится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единым платежом на расчетный счет Претендента, открытый при регистрации на электронной площадке.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4"/>
        <w:ind w:firstLine="567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567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567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567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567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567"/>
        <w:jc w:val="both"/>
        <w:rPr>
          <w:rFonts w:eastAsia="Calibri"/>
          <w:b/>
          <w:color w:val="000000"/>
          <w:sz w:val="28"/>
          <w:szCs w:val="28"/>
          <w:u w:val="single"/>
        </w:rPr>
      </w:pPr>
      <w:r>
        <w:rPr>
          <w:rFonts w:eastAsia="Calibri"/>
          <w:b/>
          <w:color w:val="000000"/>
          <w:sz w:val="28"/>
          <w:szCs w:val="28"/>
          <w:u w:val="single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</w:t>
      </w:r>
      <w:r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 xml:space="preserve">не ранее чем через 10 дней и не позднее 20 дней</w:t>
      </w:r>
      <w:r>
        <w:rPr>
          <w:rFonts w:eastAsia="Calibri"/>
          <w:b/>
          <w:color w:val="000000"/>
          <w:sz w:val="28"/>
          <w:szCs w:val="28"/>
          <w:u w:val="single"/>
        </w:rPr>
        <w:t xml:space="preserve"> со дня подведения итогов аукциона. </w:t>
      </w:r>
      <w:r>
        <w:rPr>
          <w:rFonts w:eastAsia="Calibri"/>
          <w:b/>
          <w:color w:val="000000"/>
          <w:sz w:val="28"/>
          <w:szCs w:val="28"/>
          <w:u w:val="single"/>
        </w:rPr>
      </w:r>
    </w:p>
    <w:p>
      <w:pPr>
        <w:ind w:firstLine="567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Cs/>
          <w:color w:val="000000"/>
          <w:sz w:val="26"/>
          <w:szCs w:val="26"/>
        </w:rPr>
        <w:t xml:space="preserve">возвращается</w:t>
      </w:r>
      <w:r>
        <w:rPr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567"/>
        <w:jc w:val="both"/>
        <w:rPr>
          <w:rFonts w:eastAsia="Calibri"/>
          <w:color w:val="000000"/>
          <w:sz w:val="26"/>
          <w:szCs w:val="26"/>
          <w:u w:val="single"/>
        </w:rPr>
      </w:pPr>
      <w:r>
        <w:rPr>
          <w:b/>
          <w:color w:val="000000"/>
          <w:sz w:val="28"/>
          <w:szCs w:val="26"/>
          <w:u w:val="single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  <w:u w:val="single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  <w:u w:val="single"/>
        </w:rPr>
        <w:t xml:space="preserve"> </w:t>
      </w:r>
      <w:r>
        <w:rPr>
          <w:rFonts w:eastAsia="Calibri"/>
          <w:color w:val="000000"/>
          <w:sz w:val="26"/>
          <w:szCs w:val="26"/>
          <w:u w:val="single"/>
        </w:rPr>
      </w:r>
    </w:p>
    <w:p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567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ind w:firstLine="567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color w:val="000000"/>
          <w:sz w:val="26"/>
          <w:szCs w:val="26"/>
          <w:lang w:val="ru-RU"/>
        </w:rPr>
      </w:pPr>
      <w:r>
        <w:rPr>
          <w:rFonts w:eastAsia="Calibri"/>
          <w:b w:val="0"/>
          <w:color w:val="000000"/>
          <w:sz w:val="26"/>
          <w:szCs w:val="26"/>
          <w:lang w:val="ru-RU"/>
        </w:rPr>
        <w:t xml:space="preserve">Форма оплаты по договору купли-продажи: безналичная.</w:t>
      </w:r>
      <w:r>
        <w:rPr>
          <w:rFonts w:eastAsia="Calibri"/>
          <w:b w:val="0"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851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3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9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15"/>
  </w:num>
  <w:num w:numId="5">
    <w:abstractNumId w:val="23"/>
  </w:num>
  <w:num w:numId="6">
    <w:abstractNumId w:val="4"/>
  </w:num>
  <w:num w:numId="7">
    <w:abstractNumId w:val="1"/>
  </w:num>
  <w:num w:numId="8">
    <w:abstractNumId w:val="6"/>
  </w:num>
  <w:num w:numId="9">
    <w:abstractNumId w:val="19"/>
  </w:num>
  <w:num w:numId="10">
    <w:abstractNumId w:val="12"/>
  </w:num>
  <w:num w:numId="11">
    <w:abstractNumId w:val="13"/>
  </w:num>
  <w:num w:numId="12">
    <w:abstractNumId w:val="22"/>
  </w:num>
  <w:num w:numId="13">
    <w:abstractNumId w:val="9"/>
  </w:num>
  <w:num w:numId="14">
    <w:abstractNumId w:val="3"/>
  </w:num>
  <w:num w:numId="15">
    <w:abstractNumId w:val="2"/>
  </w:num>
  <w:num w:numId="16">
    <w:abstractNumId w:val="24"/>
  </w:num>
  <w:num w:numId="17">
    <w:abstractNumId w:val="20"/>
  </w:num>
  <w:num w:numId="18">
    <w:abstractNumId w:val="14"/>
  </w:num>
  <w:num w:numId="19">
    <w:abstractNumId w:val="10"/>
  </w:num>
  <w:num w:numId="20">
    <w:abstractNumId w:val="7"/>
  </w:num>
  <w:num w:numId="21">
    <w:abstractNumId w:val="0"/>
  </w:num>
  <w:num w:numId="22">
    <w:abstractNumId w:val="11"/>
  </w:num>
  <w:num w:numId="23">
    <w:abstractNumId w:val="8"/>
  </w:num>
  <w:num w:numId="24">
    <w:abstractNumId w:val="16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A58F8-257D-49E3-B8F8-08DBB483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11</cp:revision>
  <dcterms:created xsi:type="dcterms:W3CDTF">2026-05-06T13:49:00Z</dcterms:created>
  <dcterms:modified xsi:type="dcterms:W3CDTF">2026-05-12T06:16:19Z</dcterms:modified>
</cp:coreProperties>
</file>