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tbl>
            <w:tblPr>
              <w:tblW w:w="0" w:type="auto"/>
              <w:jc w:val="right"/>
              <w:tblLook w:val="04A0"/>
            </w:tblPr>
            <w:tblGrid>
              <w:gridCol w:w="3085"/>
            </w:tblGrid>
            <w:tr w:rsidR="00214C0E" w:rsidRPr="00FE2A2E" w:rsidTr="00214C0E">
              <w:trPr>
                <w:jc w:val="right"/>
              </w:trPr>
              <w:tc>
                <w:tcPr>
                  <w:tcW w:w="3085" w:type="dxa"/>
                </w:tcPr>
                <w:p w:rsidR="00214C0E" w:rsidRPr="00FE2A2E" w:rsidRDefault="00214C0E" w:rsidP="001767B1">
                  <w:pPr>
                    <w:pStyle w:val="a3"/>
                    <w:ind w:left="-108"/>
                    <w:rPr>
                      <w:b/>
                      <w:color w:val="000000"/>
                    </w:rPr>
                  </w:pPr>
                </w:p>
              </w:tc>
            </w:tr>
          </w:tbl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AD3C99">
        <w:rPr>
          <w:b/>
          <w:color w:val="000000"/>
          <w:sz w:val="26"/>
          <w:szCs w:val="26"/>
        </w:rPr>
        <w:t>1</w:t>
      </w:r>
      <w:r w:rsidR="005933BF">
        <w:rPr>
          <w:b/>
          <w:color w:val="000000"/>
          <w:sz w:val="26"/>
          <w:szCs w:val="26"/>
        </w:rPr>
        <w:t>2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0E22BF">
        <w:rPr>
          <w:b/>
          <w:sz w:val="30"/>
          <w:szCs w:val="30"/>
          <w:u w:val="single"/>
        </w:rPr>
        <w:t>15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470887">
        <w:rPr>
          <w:b/>
          <w:sz w:val="30"/>
          <w:szCs w:val="30"/>
          <w:u w:val="single"/>
        </w:rPr>
        <w:t>марта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D2918" w:rsidRDefault="006D291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494"/>
        <w:gridCol w:w="1559"/>
        <w:gridCol w:w="1384"/>
      </w:tblGrid>
      <w:tr w:rsidR="005D4BD0" w:rsidRPr="00C40D8E" w:rsidTr="00AD3C99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  <w:lang w:val="en-US" w:eastAsia="en-US" w:bidi="en-US"/>
              </w:rPr>
              <w:t>№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лот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Наименование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Местонахождение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Общая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площадь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объекта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кв</w:t>
            </w:r>
            <w:proofErr w:type="gramStart"/>
            <w:r w:rsidRPr="00C40D8E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Описание объекта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Начальная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цена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объекта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11pt"/>
                <w:sz w:val="26"/>
                <w:szCs w:val="26"/>
              </w:rPr>
              <w:t>(руб.)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(с учетом НДС)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Задаток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11pt"/>
                <w:sz w:val="26"/>
                <w:szCs w:val="26"/>
              </w:rPr>
              <w:t>(руб.)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Шаг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"/>
              </w:rPr>
              <w:t>аукциона</w:t>
            </w:r>
          </w:p>
          <w:p w:rsidR="005D4BD0" w:rsidRPr="00C40D8E" w:rsidRDefault="005D4BD0" w:rsidP="008F6B0C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0D0CC4" w:rsidRPr="00C40D8E" w:rsidTr="00F40351">
        <w:trPr>
          <w:trHeight w:hRule="exact" w:val="23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D0CC4" w:rsidRPr="00C40D8E" w:rsidRDefault="000D0CC4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C40D8E"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Нежилое помещение</w:t>
            </w:r>
            <w:r w:rsidRPr="00C40D8E">
              <w:rPr>
                <w:sz w:val="26"/>
                <w:szCs w:val="26"/>
              </w:rPr>
              <w:br/>
              <w:t xml:space="preserve"> 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г</w:t>
            </w:r>
            <w:proofErr w:type="gramStart"/>
            <w:r w:rsidRPr="00C40D8E">
              <w:rPr>
                <w:sz w:val="26"/>
                <w:szCs w:val="26"/>
              </w:rPr>
              <w:t>.Н</w:t>
            </w:r>
            <w:proofErr w:type="gramEnd"/>
            <w:r w:rsidRPr="00C40D8E">
              <w:rPr>
                <w:sz w:val="26"/>
                <w:szCs w:val="26"/>
              </w:rPr>
              <w:t xml:space="preserve">ижний Новгород, Автозаводский район, ул.Героя Васильева, д.55, </w:t>
            </w:r>
            <w:proofErr w:type="spellStart"/>
            <w:r w:rsidRPr="00C40D8E">
              <w:rPr>
                <w:sz w:val="26"/>
                <w:szCs w:val="26"/>
              </w:rPr>
              <w:t>пом</w:t>
            </w:r>
            <w:proofErr w:type="spellEnd"/>
            <w:r w:rsidRPr="00C40D8E">
              <w:rPr>
                <w:sz w:val="26"/>
                <w:szCs w:val="26"/>
              </w:rPr>
              <w:t xml:space="preserve"> П6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52:18:0040116:717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32,3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1952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Нежилое помещение расположено на втором этаже двухэтажного нежилого здания. Вход совместный с другими пользователями.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725 790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145 158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36 289,5</w:t>
            </w:r>
          </w:p>
        </w:tc>
      </w:tr>
      <w:tr w:rsidR="000D0CC4" w:rsidRPr="00C40D8E" w:rsidTr="008F6B0C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D0CC4" w:rsidRPr="00C40D8E" w:rsidRDefault="000D0CC4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C40D8E"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 xml:space="preserve">Нежилое помещение </w:t>
            </w:r>
            <w:r w:rsidRPr="00C40D8E">
              <w:rPr>
                <w:sz w:val="26"/>
                <w:szCs w:val="26"/>
              </w:rPr>
              <w:br/>
              <w:t>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г</w:t>
            </w:r>
            <w:proofErr w:type="gramStart"/>
            <w:r w:rsidRPr="00C40D8E">
              <w:rPr>
                <w:sz w:val="26"/>
                <w:szCs w:val="26"/>
              </w:rPr>
              <w:t>.Н</w:t>
            </w:r>
            <w:proofErr w:type="gramEnd"/>
            <w:r w:rsidRPr="00C40D8E">
              <w:rPr>
                <w:sz w:val="26"/>
                <w:szCs w:val="26"/>
              </w:rPr>
              <w:t xml:space="preserve">ижний Новгород, Автозаводский район, ул.Героя Васильева, д.55, </w:t>
            </w:r>
            <w:proofErr w:type="spellStart"/>
            <w:r w:rsidRPr="00C40D8E">
              <w:rPr>
                <w:sz w:val="26"/>
                <w:szCs w:val="26"/>
              </w:rPr>
              <w:t>пом</w:t>
            </w:r>
            <w:proofErr w:type="spellEnd"/>
            <w:r w:rsidRPr="00C40D8E">
              <w:rPr>
                <w:sz w:val="26"/>
                <w:szCs w:val="26"/>
              </w:rPr>
              <w:t xml:space="preserve"> П7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52:18:0040116:716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16,2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1952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Нежилое помещение расположено на втором этаже двухэтажного нежилого здания. Вход совместный с другими пользователями.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365 150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73 030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18 257,5</w:t>
            </w:r>
          </w:p>
        </w:tc>
      </w:tr>
      <w:tr w:rsidR="000D0CC4" w:rsidRPr="00C40D8E" w:rsidTr="008F6B0C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D0CC4" w:rsidRPr="00C40D8E" w:rsidRDefault="000D0CC4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C40D8E"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 xml:space="preserve">Нежилое помещение </w:t>
            </w:r>
            <w:r w:rsidRPr="00C40D8E">
              <w:rPr>
                <w:sz w:val="26"/>
                <w:szCs w:val="26"/>
              </w:rPr>
              <w:br/>
              <w:t>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г</w:t>
            </w:r>
            <w:proofErr w:type="gramStart"/>
            <w:r w:rsidRPr="00C40D8E">
              <w:rPr>
                <w:sz w:val="26"/>
                <w:szCs w:val="26"/>
              </w:rPr>
              <w:t>.Н</w:t>
            </w:r>
            <w:proofErr w:type="gramEnd"/>
            <w:r w:rsidRPr="00C40D8E">
              <w:rPr>
                <w:sz w:val="26"/>
                <w:szCs w:val="26"/>
              </w:rPr>
              <w:t xml:space="preserve">ижний Новгород, Автозаводский район, ул.Героя Васильева, д.55, </w:t>
            </w:r>
            <w:proofErr w:type="spellStart"/>
            <w:r w:rsidRPr="00C40D8E">
              <w:rPr>
                <w:sz w:val="26"/>
                <w:szCs w:val="26"/>
              </w:rPr>
              <w:t>пом</w:t>
            </w:r>
            <w:proofErr w:type="spellEnd"/>
            <w:r w:rsidRPr="00C40D8E">
              <w:rPr>
                <w:sz w:val="26"/>
                <w:szCs w:val="26"/>
              </w:rPr>
              <w:t xml:space="preserve"> П8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52:18:0040116:712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83,2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1952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0D0CC4" w:rsidRPr="00C40D8E" w:rsidRDefault="000D0CC4" w:rsidP="000D0CC4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Нежилое помещение расположено на втором этаже двухэтажного нежилого здания. Вход совместный с другими пользователями.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1 578 300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315 660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0D0CC4" w:rsidRPr="00C40D8E" w:rsidRDefault="000D0CC4" w:rsidP="005933BF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78 915</w:t>
            </w:r>
          </w:p>
        </w:tc>
      </w:tr>
      <w:tr w:rsidR="00C40D8E" w:rsidRPr="00C40D8E" w:rsidTr="008F6B0C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40D8E" w:rsidRPr="00C40D8E" w:rsidRDefault="00C40D8E" w:rsidP="008F6B0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C40D8E">
              <w:rPr>
                <w:rStyle w:val="Bodytext2"/>
                <w:lang w:eastAsia="en-US" w:bidi="en-US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47/100 долей в праве общей долевой собственности на 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г</w:t>
            </w:r>
            <w:proofErr w:type="gramStart"/>
            <w:r w:rsidRPr="00C40D8E">
              <w:rPr>
                <w:sz w:val="26"/>
                <w:szCs w:val="26"/>
              </w:rPr>
              <w:t>.Н</w:t>
            </w:r>
            <w:proofErr w:type="gramEnd"/>
            <w:r w:rsidRPr="00C40D8E">
              <w:rPr>
                <w:sz w:val="26"/>
                <w:szCs w:val="26"/>
              </w:rPr>
              <w:t xml:space="preserve">ижний Новгород, Советский район, </w:t>
            </w:r>
            <w:proofErr w:type="spellStart"/>
            <w:r w:rsidRPr="00C40D8E">
              <w:rPr>
                <w:sz w:val="26"/>
                <w:szCs w:val="26"/>
              </w:rPr>
              <w:t>пр-кт</w:t>
            </w:r>
            <w:proofErr w:type="spellEnd"/>
            <w:r w:rsidRPr="00C40D8E">
              <w:rPr>
                <w:sz w:val="26"/>
                <w:szCs w:val="26"/>
              </w:rPr>
              <w:t xml:space="preserve"> Гагарина, д.56, </w:t>
            </w:r>
            <w:proofErr w:type="spellStart"/>
            <w:r w:rsidRPr="00C40D8E">
              <w:rPr>
                <w:sz w:val="26"/>
                <w:szCs w:val="26"/>
              </w:rPr>
              <w:t>пом</w:t>
            </w:r>
            <w:proofErr w:type="spellEnd"/>
            <w:r w:rsidRPr="00C40D8E">
              <w:rPr>
                <w:sz w:val="26"/>
                <w:szCs w:val="26"/>
              </w:rPr>
              <w:t xml:space="preserve"> П4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C40D8E">
              <w:rPr>
                <w:bCs/>
                <w:sz w:val="26"/>
                <w:szCs w:val="26"/>
              </w:rPr>
              <w:t>52:18:0070189:191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C40D8E">
              <w:rPr>
                <w:bCs/>
                <w:sz w:val="26"/>
                <w:szCs w:val="26"/>
              </w:rPr>
              <w:t>200,3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C40D8E">
              <w:rPr>
                <w:bCs/>
                <w:sz w:val="26"/>
                <w:szCs w:val="26"/>
              </w:rPr>
              <w:t>1965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Нежилое помещение расположено в подвале пятиэтажного жилого дома.</w:t>
            </w:r>
          </w:p>
          <w:p w:rsidR="00C40D8E" w:rsidRPr="00C40D8E" w:rsidRDefault="00C40D8E" w:rsidP="00C40D8E">
            <w:pPr>
              <w:ind w:left="57" w:right="57"/>
              <w:jc w:val="center"/>
              <w:rPr>
                <w:sz w:val="26"/>
                <w:szCs w:val="26"/>
              </w:rPr>
            </w:pPr>
            <w:r w:rsidRPr="00C40D8E">
              <w:rPr>
                <w:sz w:val="26"/>
                <w:szCs w:val="26"/>
              </w:rPr>
              <w:t>Вход отдельный.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C40D8E">
              <w:rPr>
                <w:b/>
                <w:sz w:val="26"/>
                <w:szCs w:val="26"/>
              </w:rPr>
              <w:t>3 049 360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C40D8E">
              <w:rPr>
                <w:b/>
                <w:color w:val="000000"/>
                <w:sz w:val="26"/>
                <w:szCs w:val="26"/>
              </w:rPr>
              <w:t>609 872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C40D8E" w:rsidRPr="00C40D8E" w:rsidRDefault="00C40D8E" w:rsidP="00C40D8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C40D8E">
              <w:rPr>
                <w:b/>
                <w:color w:val="000000"/>
                <w:sz w:val="26"/>
                <w:szCs w:val="26"/>
              </w:rPr>
              <w:t>152 468</w:t>
            </w:r>
          </w:p>
        </w:tc>
      </w:tr>
    </w:tbl>
    <w:p w:rsidR="009E1BEA" w:rsidRDefault="009E1BEA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0D0CC4" w:rsidRDefault="000D0CC4" w:rsidP="000D0CC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4</w:t>
      </w:r>
      <w:r w:rsidRPr="00CE40F6">
        <w:rPr>
          <w:b/>
          <w:sz w:val="26"/>
          <w:szCs w:val="26"/>
          <w:u w:val="single"/>
        </w:rPr>
        <w:t>:</w:t>
      </w:r>
      <w:r w:rsidRPr="002D7F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AD3C99" w:rsidRDefault="000D0CC4" w:rsidP="000D0CC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 xml:space="preserve"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сособственник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 утрачивает преимущественное право приобретения объекта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>
        <w:rPr>
          <w:b/>
          <w:sz w:val="26"/>
          <w:szCs w:val="26"/>
        </w:rPr>
        <w:t>ому</w:t>
      </w:r>
      <w:r w:rsidRPr="00D30FFA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у.</w:t>
      </w:r>
    </w:p>
    <w:p w:rsidR="00AD3C99" w:rsidRPr="00065EAC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Pr="00065EAC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65EAC">
        <w:rPr>
          <w:b/>
          <w:sz w:val="26"/>
          <w:szCs w:val="26"/>
          <w:u w:val="single"/>
        </w:rPr>
        <w:t>П</w:t>
      </w:r>
      <w:r w:rsidR="000D0CC4">
        <w:rPr>
          <w:b/>
          <w:sz w:val="26"/>
          <w:szCs w:val="26"/>
          <w:u w:val="single"/>
        </w:rPr>
        <w:t xml:space="preserve">о лоту </w:t>
      </w:r>
      <w:r w:rsidR="00227651">
        <w:rPr>
          <w:b/>
          <w:sz w:val="26"/>
          <w:szCs w:val="26"/>
          <w:u w:val="single"/>
        </w:rPr>
        <w:t xml:space="preserve">№ </w:t>
      </w:r>
      <w:r w:rsidR="00C40D8E">
        <w:rPr>
          <w:b/>
          <w:sz w:val="26"/>
          <w:szCs w:val="26"/>
          <w:u w:val="single"/>
        </w:rPr>
        <w:t>4</w:t>
      </w:r>
      <w:r w:rsidRPr="00065EAC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AD3C99" w:rsidRDefault="00AD3C99" w:rsidP="00AD3C99">
      <w:pPr>
        <w:pStyle w:val="a3"/>
        <w:rPr>
          <w:color w:val="000000" w:themeColor="text1"/>
          <w:sz w:val="26"/>
          <w:szCs w:val="26"/>
          <w:u w:val="single"/>
        </w:rPr>
      </w:pPr>
    </w:p>
    <w:p w:rsidR="000D0CC4" w:rsidRPr="00AD0482" w:rsidRDefault="000D0CC4" w:rsidP="000D0CC4">
      <w:pPr>
        <w:pStyle w:val="a3"/>
        <w:rPr>
          <w:color w:val="000000"/>
          <w:sz w:val="26"/>
          <w:szCs w:val="26"/>
        </w:rPr>
      </w:pPr>
      <w:r w:rsidRPr="002B4A5A">
        <w:rPr>
          <w:color w:val="000000"/>
          <w:sz w:val="26"/>
          <w:szCs w:val="26"/>
          <w:u w:val="single"/>
        </w:rPr>
        <w:t xml:space="preserve">По лотам №№ </w:t>
      </w:r>
      <w:r>
        <w:rPr>
          <w:color w:val="000000"/>
          <w:sz w:val="26"/>
          <w:szCs w:val="26"/>
          <w:u w:val="single"/>
        </w:rPr>
        <w:t>1-3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17.02.2021 № 21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16.03.2021 № 997.</w:t>
      </w:r>
    </w:p>
    <w:p w:rsidR="000D0CC4" w:rsidRDefault="000D0CC4" w:rsidP="000D0CC4">
      <w:pPr>
        <w:jc w:val="both"/>
        <w:rPr>
          <w:b/>
          <w:sz w:val="26"/>
          <w:szCs w:val="26"/>
        </w:rPr>
      </w:pPr>
      <w:r w:rsidRPr="00AD0482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 xml:space="preserve">ы от 18.05.2021 № 9811, от 15.07.2021 № 10124 </w:t>
      </w:r>
      <w:r w:rsidRPr="00AD0482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продаже не состоялись</w:t>
      </w:r>
      <w:r w:rsidRPr="00AD0482">
        <w:rPr>
          <w:color w:val="000000"/>
          <w:sz w:val="26"/>
          <w:szCs w:val="26"/>
        </w:rPr>
        <w:t xml:space="preserve"> в связи с отсутствием заявок.</w:t>
      </w:r>
    </w:p>
    <w:p w:rsidR="005D4BD0" w:rsidRDefault="000D0CC4" w:rsidP="000D0CC4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Продажи</w:t>
      </w:r>
      <w:r w:rsidRPr="002B4A5A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>от 20.09.2021 № 10329, от 01.11.2021 № 10471 не состоялись</w:t>
      </w:r>
      <w:r w:rsidRPr="002B4A5A">
        <w:rPr>
          <w:color w:val="000000"/>
          <w:sz w:val="26"/>
          <w:szCs w:val="26"/>
        </w:rPr>
        <w:t xml:space="preserve"> в связи с отсутствием заявок.</w:t>
      </w:r>
    </w:p>
    <w:p w:rsidR="00C40D8E" w:rsidRDefault="00C40D8E" w:rsidP="000D0CC4">
      <w:pPr>
        <w:tabs>
          <w:tab w:val="num" w:pos="0"/>
        </w:tabs>
        <w:jc w:val="both"/>
        <w:rPr>
          <w:color w:val="000000"/>
          <w:sz w:val="26"/>
          <w:szCs w:val="26"/>
        </w:rPr>
      </w:pPr>
    </w:p>
    <w:p w:rsidR="00C40D8E" w:rsidRDefault="00C40D8E" w:rsidP="00C40D8E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4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29.01.2021 № 338</w:t>
      </w:r>
      <w:r w:rsidRPr="008C2487">
        <w:rPr>
          <w:sz w:val="26"/>
          <w:szCs w:val="26"/>
        </w:rPr>
        <w:t>.</w:t>
      </w:r>
    </w:p>
    <w:p w:rsidR="00C40D8E" w:rsidRDefault="00C40D8E" w:rsidP="00C40D8E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от 27.10.2021 № 10460 </w:t>
      </w:r>
      <w:r w:rsidRPr="008C2487">
        <w:rPr>
          <w:color w:val="000000"/>
          <w:sz w:val="26"/>
          <w:szCs w:val="26"/>
        </w:rPr>
        <w:t>по продаже</w:t>
      </w:r>
      <w:r>
        <w:rPr>
          <w:color w:val="000000"/>
          <w:sz w:val="26"/>
          <w:szCs w:val="26"/>
        </w:rPr>
        <w:t xml:space="preserve"> не состоялся в св</w:t>
      </w:r>
      <w:r w:rsidR="007332F6">
        <w:rPr>
          <w:color w:val="000000"/>
          <w:sz w:val="26"/>
          <w:szCs w:val="26"/>
        </w:rPr>
        <w:t>язи с отсутствием заявок, от 25.</w:t>
      </w:r>
      <w:r>
        <w:rPr>
          <w:color w:val="000000"/>
          <w:sz w:val="26"/>
          <w:szCs w:val="26"/>
        </w:rPr>
        <w:t>01.2022 № 10766 по продаже не состоялся в связи с тем, что ни один из участников не сделал предложение о начальной цене.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lastRenderedPageBreak/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0D0CC4">
        <w:rPr>
          <w:rFonts w:eastAsia="Calibri"/>
          <w:sz w:val="26"/>
          <w:szCs w:val="26"/>
        </w:rPr>
        <w:t xml:space="preserve"> </w:t>
      </w:r>
      <w:r w:rsidR="000E22BF">
        <w:rPr>
          <w:rFonts w:eastAsia="Calibri"/>
          <w:sz w:val="26"/>
          <w:szCs w:val="26"/>
        </w:rPr>
        <w:t>28</w:t>
      </w:r>
      <w:r w:rsidR="00470887">
        <w:rPr>
          <w:rFonts w:eastAsia="Calibri"/>
          <w:sz w:val="26"/>
          <w:szCs w:val="26"/>
        </w:rPr>
        <w:t>.01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0D0CC4">
        <w:rPr>
          <w:rFonts w:eastAsia="Calibri"/>
          <w:sz w:val="26"/>
          <w:szCs w:val="26"/>
        </w:rPr>
        <w:t xml:space="preserve"> </w:t>
      </w:r>
      <w:r w:rsidR="000E22BF">
        <w:rPr>
          <w:rFonts w:eastAsia="Calibri"/>
          <w:sz w:val="26"/>
          <w:szCs w:val="26"/>
        </w:rPr>
        <w:t>05</w:t>
      </w:r>
      <w:r w:rsidR="00470887">
        <w:rPr>
          <w:rFonts w:eastAsia="Calibri"/>
          <w:sz w:val="26"/>
          <w:szCs w:val="26"/>
        </w:rPr>
        <w:t>.0</w:t>
      </w:r>
      <w:r w:rsidR="000E22BF">
        <w:rPr>
          <w:rFonts w:eastAsia="Calibri"/>
          <w:sz w:val="26"/>
          <w:szCs w:val="26"/>
        </w:rPr>
        <w:t>3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0D0CC4">
        <w:rPr>
          <w:sz w:val="26"/>
          <w:szCs w:val="26"/>
        </w:rPr>
        <w:t xml:space="preserve"> </w:t>
      </w:r>
      <w:r w:rsidR="000E22BF">
        <w:rPr>
          <w:sz w:val="26"/>
          <w:szCs w:val="26"/>
        </w:rPr>
        <w:t>05</w:t>
      </w:r>
      <w:r w:rsidR="00470887">
        <w:rPr>
          <w:sz w:val="26"/>
          <w:szCs w:val="26"/>
        </w:rPr>
        <w:t>.0</w:t>
      </w:r>
      <w:r w:rsidR="000E22BF">
        <w:rPr>
          <w:sz w:val="26"/>
          <w:szCs w:val="26"/>
        </w:rPr>
        <w:t>3</w:t>
      </w:r>
      <w:r w:rsidR="000F5278" w:rsidRPr="00CB69FC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0D0CC4">
        <w:rPr>
          <w:rFonts w:eastAsia="Calibri"/>
          <w:sz w:val="26"/>
          <w:szCs w:val="26"/>
        </w:rPr>
        <w:t xml:space="preserve"> </w:t>
      </w:r>
      <w:r w:rsidR="000E22BF">
        <w:rPr>
          <w:rFonts w:eastAsia="Calibri"/>
          <w:sz w:val="26"/>
          <w:szCs w:val="26"/>
        </w:rPr>
        <w:t>14</w:t>
      </w:r>
      <w:r w:rsidR="00470887">
        <w:rPr>
          <w:rFonts w:eastAsia="Calibri"/>
          <w:sz w:val="26"/>
          <w:szCs w:val="26"/>
        </w:rPr>
        <w:t>.03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0D0CC4">
        <w:rPr>
          <w:rFonts w:eastAsia="Calibri"/>
          <w:b/>
          <w:sz w:val="30"/>
          <w:szCs w:val="30"/>
          <w:u w:val="single"/>
        </w:rPr>
        <w:t xml:space="preserve"> </w:t>
      </w:r>
      <w:r w:rsidR="000E22BF">
        <w:rPr>
          <w:rFonts w:eastAsia="Calibri"/>
          <w:b/>
          <w:sz w:val="30"/>
          <w:szCs w:val="30"/>
          <w:u w:val="single"/>
        </w:rPr>
        <w:t>15</w:t>
      </w:r>
      <w:r w:rsidR="00470887">
        <w:rPr>
          <w:rFonts w:eastAsia="Calibri"/>
          <w:b/>
          <w:sz w:val="30"/>
          <w:szCs w:val="30"/>
          <w:u w:val="single"/>
        </w:rPr>
        <w:t>.03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27651" w:rsidRDefault="00227651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415E60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8"/>
          <w:szCs w:val="28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 xml:space="preserve">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 xml:space="preserve">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-ен)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5540E5" w:rsidRPr="005540E5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5540E5">
        <w:rPr>
          <w:spacing w:val="-3"/>
          <w:sz w:val="26"/>
          <w:szCs w:val="26"/>
        </w:rPr>
      </w:r>
      <w:r w:rsidR="005540E5">
        <w:rPr>
          <w:spacing w:val="-3"/>
          <w:sz w:val="26"/>
          <w:szCs w:val="26"/>
        </w:rPr>
        <w:fldChar w:fldCharType="separate"/>
      </w:r>
      <w:r w:rsidR="005540E5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</w:t>
      </w:r>
      <w:r w:rsidRPr="00FE2A2E">
        <w:rPr>
          <w:spacing w:val="-3"/>
          <w:sz w:val="26"/>
          <w:szCs w:val="26"/>
        </w:rPr>
        <w:lastRenderedPageBreak/>
        <w:t>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9B5" w:rsidRDefault="00A709B5" w:rsidP="00D42863">
      <w:r>
        <w:separator/>
      </w:r>
    </w:p>
  </w:endnote>
  <w:endnote w:type="continuationSeparator" w:id="0">
    <w:p w:rsidR="00A709B5" w:rsidRDefault="00A709B5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9B5" w:rsidRDefault="00A709B5" w:rsidP="00D42863">
      <w:r>
        <w:separator/>
      </w:r>
    </w:p>
  </w:footnote>
  <w:footnote w:type="continuationSeparator" w:id="0">
    <w:p w:rsidR="00A709B5" w:rsidRDefault="00A709B5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B5" w:rsidRDefault="00A709B5">
    <w:pPr>
      <w:pStyle w:val="ab"/>
      <w:jc w:val="center"/>
    </w:pPr>
    <w:fldSimple w:instr=" PAGE   \* MERGEFORMAT ">
      <w:r>
        <w:rPr>
          <w:noProof/>
        </w:rPr>
        <w:t>2</w:t>
      </w:r>
    </w:fldSimple>
  </w:p>
  <w:p w:rsidR="00A709B5" w:rsidRDefault="00A709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699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6B44"/>
    <w:rsid w:val="003576DF"/>
    <w:rsid w:val="00357AEF"/>
    <w:rsid w:val="0036113D"/>
    <w:rsid w:val="003614F5"/>
    <w:rsid w:val="003638AD"/>
    <w:rsid w:val="00364EE5"/>
    <w:rsid w:val="00364FBA"/>
    <w:rsid w:val="003664FF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0E5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25870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9B5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96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054E1-0860-4713-88E4-2330DEE7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5542</Words>
  <Characters>41335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46784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i.sakeeva</cp:lastModifiedBy>
  <cp:revision>4</cp:revision>
  <cp:lastPrinted>2022-01-27T07:27:00Z</cp:lastPrinted>
  <dcterms:created xsi:type="dcterms:W3CDTF">2022-01-26T12:15:00Z</dcterms:created>
  <dcterms:modified xsi:type="dcterms:W3CDTF">2022-01-27T07:44:00Z</dcterms:modified>
</cp:coreProperties>
</file>