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4D0349" w:rsidRDefault="00214C0E" w:rsidP="004D0349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9A4551">
        <w:rPr>
          <w:b/>
          <w:color w:val="000000"/>
          <w:sz w:val="26"/>
          <w:szCs w:val="26"/>
        </w:rPr>
        <w:t>7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21942">
        <w:rPr>
          <w:b/>
          <w:sz w:val="30"/>
          <w:szCs w:val="30"/>
          <w:u w:val="single"/>
        </w:rPr>
        <w:t>0</w:t>
      </w:r>
      <w:r w:rsidR="00D85F76">
        <w:rPr>
          <w:b/>
          <w:sz w:val="30"/>
          <w:szCs w:val="30"/>
          <w:u w:val="single"/>
        </w:rPr>
        <w:t>6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6E17D2">
        <w:rPr>
          <w:b/>
          <w:sz w:val="30"/>
          <w:szCs w:val="30"/>
          <w:u w:val="single"/>
        </w:rPr>
        <w:t>апреля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9A4551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  <w:lang w:val="en-US" w:eastAsia="en-US" w:bidi="en-US"/>
              </w:rPr>
              <w:t>№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лот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Наименование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Местонахождение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Общая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площадь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кв</w:t>
            </w:r>
            <w:proofErr w:type="gramStart"/>
            <w:r w:rsidRPr="009A4551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Начальная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цена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Задаток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Шаг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аукциона</w:t>
            </w:r>
          </w:p>
          <w:p w:rsidR="005D6A1C" w:rsidRPr="009A4551" w:rsidRDefault="005D6A1C" w:rsidP="0041794B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9A4551" w:rsidRPr="009A4551" w:rsidTr="009A4551">
        <w:trPr>
          <w:trHeight w:hRule="exact" w:val="2074"/>
          <w:jc w:val="center"/>
        </w:trPr>
        <w:tc>
          <w:tcPr>
            <w:tcW w:w="474" w:type="dxa"/>
            <w:vMerge w:val="restart"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9A4551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г</w:t>
            </w:r>
            <w:proofErr w:type="gramStart"/>
            <w:r w:rsidRPr="009A4551">
              <w:rPr>
                <w:sz w:val="26"/>
                <w:szCs w:val="26"/>
              </w:rPr>
              <w:t>.Н</w:t>
            </w:r>
            <w:proofErr w:type="gramEnd"/>
            <w:r w:rsidRPr="009A4551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9A4551">
              <w:rPr>
                <w:sz w:val="26"/>
                <w:szCs w:val="26"/>
              </w:rPr>
              <w:t>Канавинский</w:t>
            </w:r>
            <w:proofErr w:type="spellEnd"/>
            <w:r w:rsidRPr="009A4551">
              <w:rPr>
                <w:sz w:val="26"/>
                <w:szCs w:val="26"/>
              </w:rPr>
              <w:t xml:space="preserve"> район, пл.Революции, д.5, </w:t>
            </w:r>
            <w:proofErr w:type="spellStart"/>
            <w:r w:rsidRPr="009A4551">
              <w:rPr>
                <w:sz w:val="26"/>
                <w:szCs w:val="26"/>
              </w:rPr>
              <w:t>пом</w:t>
            </w:r>
            <w:proofErr w:type="spellEnd"/>
            <w:r w:rsidRPr="009A4551">
              <w:rPr>
                <w:sz w:val="26"/>
                <w:szCs w:val="26"/>
              </w:rPr>
              <w:t xml:space="preserve"> п10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52:18:0030057:84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28,2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1914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расположено в подвале пятиэтажного нежилого здания. Вход со двора здания, совместный с другими пользователями.</w:t>
            </w:r>
          </w:p>
        </w:tc>
        <w:tc>
          <w:tcPr>
            <w:tcW w:w="1388" w:type="dxa"/>
            <w:vMerge w:val="restart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3 180 000</w:t>
            </w:r>
          </w:p>
        </w:tc>
        <w:tc>
          <w:tcPr>
            <w:tcW w:w="1525" w:type="dxa"/>
            <w:vMerge w:val="restart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636 000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159 000</w:t>
            </w:r>
          </w:p>
        </w:tc>
      </w:tr>
      <w:tr w:rsidR="009A4551" w:rsidRPr="009A4551" w:rsidTr="009A4551">
        <w:trPr>
          <w:trHeight w:hRule="exact" w:val="3238"/>
          <w:jc w:val="center"/>
        </w:trPr>
        <w:tc>
          <w:tcPr>
            <w:tcW w:w="474" w:type="dxa"/>
            <w:vMerge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г</w:t>
            </w:r>
            <w:proofErr w:type="gramStart"/>
            <w:r w:rsidRPr="009A4551">
              <w:rPr>
                <w:sz w:val="26"/>
                <w:szCs w:val="26"/>
              </w:rPr>
              <w:t>.Н</w:t>
            </w:r>
            <w:proofErr w:type="gramEnd"/>
            <w:r w:rsidRPr="009A4551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9A4551">
              <w:rPr>
                <w:sz w:val="26"/>
                <w:szCs w:val="26"/>
              </w:rPr>
              <w:t>Канавинский</w:t>
            </w:r>
            <w:proofErr w:type="spellEnd"/>
            <w:r w:rsidRPr="009A4551">
              <w:rPr>
                <w:sz w:val="26"/>
                <w:szCs w:val="26"/>
              </w:rPr>
              <w:t xml:space="preserve"> район, пл.Революции, д.5, </w:t>
            </w:r>
            <w:proofErr w:type="spellStart"/>
            <w:r w:rsidRPr="009A4551">
              <w:rPr>
                <w:sz w:val="26"/>
                <w:szCs w:val="26"/>
              </w:rPr>
              <w:t>пом</w:t>
            </w:r>
            <w:proofErr w:type="spellEnd"/>
            <w:r w:rsidRPr="009A4551">
              <w:rPr>
                <w:sz w:val="26"/>
                <w:szCs w:val="26"/>
              </w:rPr>
              <w:t xml:space="preserve"> п8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52:18:0030057:85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102,0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1914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 xml:space="preserve">Нежилое помещение расположено в подвале пятиэтажного нежилого здания. Вход в помещение осуществляется через смежное помещение </w:t>
            </w:r>
            <w:proofErr w:type="spellStart"/>
            <w:r w:rsidRPr="009A4551">
              <w:rPr>
                <w:sz w:val="26"/>
                <w:szCs w:val="26"/>
              </w:rPr>
              <w:t>пом</w:t>
            </w:r>
            <w:proofErr w:type="spellEnd"/>
            <w:r w:rsidRPr="009A4551">
              <w:rPr>
                <w:sz w:val="26"/>
                <w:szCs w:val="26"/>
              </w:rPr>
              <w:t xml:space="preserve"> п10, также имеется доступ из помещения перв</w:t>
            </w:r>
            <w:r w:rsidR="00230E9A">
              <w:rPr>
                <w:sz w:val="26"/>
                <w:szCs w:val="26"/>
              </w:rPr>
              <w:t>ого этажа, находящегося в частно</w:t>
            </w:r>
            <w:r w:rsidRPr="009A4551">
              <w:rPr>
                <w:sz w:val="26"/>
                <w:szCs w:val="26"/>
              </w:rPr>
              <w:t>й собственности.</w:t>
            </w:r>
          </w:p>
        </w:tc>
        <w:tc>
          <w:tcPr>
            <w:tcW w:w="1388" w:type="dxa"/>
            <w:vMerge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5" w:type="dxa"/>
            <w:vMerge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vMerge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A4551" w:rsidRPr="009A4551" w:rsidTr="009A4551">
        <w:trPr>
          <w:trHeight w:hRule="exact" w:val="1557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9A4551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г</w:t>
            </w:r>
            <w:proofErr w:type="gramStart"/>
            <w:r w:rsidRPr="009A4551">
              <w:rPr>
                <w:sz w:val="26"/>
                <w:szCs w:val="26"/>
              </w:rPr>
              <w:t>.Н</w:t>
            </w:r>
            <w:proofErr w:type="gramEnd"/>
            <w:r w:rsidRPr="009A4551">
              <w:rPr>
                <w:sz w:val="26"/>
                <w:szCs w:val="26"/>
              </w:rPr>
              <w:t xml:space="preserve">ижний Новгород, Нижегородский район, </w:t>
            </w:r>
            <w:proofErr w:type="spellStart"/>
            <w:r w:rsidRPr="009A4551">
              <w:rPr>
                <w:sz w:val="26"/>
                <w:szCs w:val="26"/>
              </w:rPr>
              <w:t>ул.Гребешковский</w:t>
            </w:r>
            <w:proofErr w:type="spellEnd"/>
            <w:r w:rsidRPr="009A4551">
              <w:rPr>
                <w:sz w:val="26"/>
                <w:szCs w:val="26"/>
              </w:rPr>
              <w:t xml:space="preserve"> Откос, д.3, </w:t>
            </w:r>
            <w:proofErr w:type="spellStart"/>
            <w:r w:rsidRPr="009A4551">
              <w:rPr>
                <w:sz w:val="26"/>
                <w:szCs w:val="26"/>
              </w:rPr>
              <w:t>пом</w:t>
            </w:r>
            <w:proofErr w:type="spellEnd"/>
            <w:r w:rsidRPr="009A4551">
              <w:rPr>
                <w:sz w:val="26"/>
                <w:szCs w:val="26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52:18:0060049:303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79,7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1957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расположено в подвале трехэтажного жилого дома. Имеется 1 отдельный вход.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2 705 000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9A4551">
              <w:rPr>
                <w:b/>
                <w:color w:val="000000"/>
                <w:sz w:val="26"/>
                <w:szCs w:val="26"/>
              </w:rPr>
              <w:t>541 000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9A4551">
              <w:rPr>
                <w:b/>
                <w:color w:val="000000"/>
                <w:sz w:val="26"/>
                <w:szCs w:val="26"/>
              </w:rPr>
              <w:t>135 250</w:t>
            </w:r>
          </w:p>
        </w:tc>
      </w:tr>
      <w:tr w:rsidR="009A4551" w:rsidRPr="009A4551" w:rsidTr="009A4551">
        <w:trPr>
          <w:trHeight w:hRule="exact" w:val="265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9A4551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г</w:t>
            </w:r>
            <w:proofErr w:type="gramStart"/>
            <w:r w:rsidRPr="009A4551">
              <w:rPr>
                <w:sz w:val="26"/>
                <w:szCs w:val="26"/>
              </w:rPr>
              <w:t>.Н</w:t>
            </w:r>
            <w:proofErr w:type="gramEnd"/>
            <w:r w:rsidRPr="009A4551">
              <w:rPr>
                <w:sz w:val="26"/>
                <w:szCs w:val="26"/>
              </w:rPr>
              <w:t xml:space="preserve">ижний Новгород, Нижегородский район, </w:t>
            </w:r>
            <w:proofErr w:type="spellStart"/>
            <w:r w:rsidRPr="009A4551">
              <w:rPr>
                <w:sz w:val="26"/>
                <w:szCs w:val="26"/>
              </w:rPr>
              <w:t>ул.Ковалихинская</w:t>
            </w:r>
            <w:proofErr w:type="spellEnd"/>
            <w:r w:rsidRPr="009A4551">
              <w:rPr>
                <w:sz w:val="26"/>
                <w:szCs w:val="26"/>
              </w:rPr>
              <w:t>, д.16, нежилое помещение П100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52:18:0060078:773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78,0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1930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расположено в подвале двухэтажного жилого дома.</w:t>
            </w:r>
          </w:p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Вход совместный с пользователями других жилых помещений через подъезд №2.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3 208 140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641 628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160 407</w:t>
            </w:r>
          </w:p>
        </w:tc>
      </w:tr>
      <w:tr w:rsidR="009A4551" w:rsidRPr="009A4551" w:rsidTr="009A4551">
        <w:trPr>
          <w:trHeight w:hRule="exact" w:val="184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A4551" w:rsidRPr="009A4551" w:rsidRDefault="009A4551" w:rsidP="0041794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9A4551">
              <w:rPr>
                <w:rStyle w:val="Bodytext2"/>
                <w:lang w:eastAsia="en-US" w:bidi="en-US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г</w:t>
            </w:r>
            <w:proofErr w:type="gramStart"/>
            <w:r w:rsidRPr="009A4551">
              <w:rPr>
                <w:sz w:val="26"/>
                <w:szCs w:val="26"/>
              </w:rPr>
              <w:t>.Н</w:t>
            </w:r>
            <w:proofErr w:type="gramEnd"/>
            <w:r w:rsidRPr="009A4551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9A4551">
              <w:rPr>
                <w:sz w:val="26"/>
                <w:szCs w:val="26"/>
              </w:rPr>
              <w:t>пр-кт</w:t>
            </w:r>
            <w:proofErr w:type="spellEnd"/>
            <w:r w:rsidRPr="009A4551">
              <w:rPr>
                <w:sz w:val="26"/>
                <w:szCs w:val="26"/>
              </w:rPr>
              <w:t xml:space="preserve"> Ильича, д.34А, </w:t>
            </w:r>
            <w:proofErr w:type="spellStart"/>
            <w:r w:rsidRPr="009A4551">
              <w:rPr>
                <w:sz w:val="26"/>
                <w:szCs w:val="26"/>
              </w:rPr>
              <w:t>пом</w:t>
            </w:r>
            <w:proofErr w:type="spellEnd"/>
            <w:r w:rsidRPr="009A4551">
              <w:rPr>
                <w:sz w:val="26"/>
                <w:szCs w:val="26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52:18:0040239:155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188,8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1953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sz w:val="26"/>
                <w:szCs w:val="26"/>
              </w:rPr>
              <w:t>Нежилое помещение расположено в подвале четырехэтажного жилого дома. Отдельный вход со двора дома.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5 750 850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1 150 170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A4551" w:rsidRPr="009A4551" w:rsidRDefault="009A4551" w:rsidP="00186AD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A4551">
              <w:rPr>
                <w:b/>
                <w:sz w:val="26"/>
                <w:szCs w:val="26"/>
              </w:rPr>
              <w:t>287 542,5</w:t>
            </w:r>
          </w:p>
        </w:tc>
      </w:tr>
    </w:tbl>
    <w:p w:rsidR="00763E6D" w:rsidRDefault="00763E6D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16A41" w:rsidRDefault="00616A41" w:rsidP="00984C91">
      <w:pPr>
        <w:jc w:val="both"/>
        <w:rPr>
          <w:b/>
          <w:sz w:val="26"/>
          <w:szCs w:val="26"/>
        </w:rPr>
      </w:pPr>
    </w:p>
    <w:p w:rsidR="00186AD2" w:rsidRPr="00921942" w:rsidRDefault="00186AD2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921942">
        <w:rPr>
          <w:b/>
          <w:sz w:val="26"/>
          <w:szCs w:val="26"/>
          <w:u w:val="single"/>
        </w:rPr>
        <w:t>По лотам №№ 1-4: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186AD2" w:rsidRPr="00253284" w:rsidRDefault="00186AD2" w:rsidP="00186AD2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186AD2" w:rsidRDefault="00186AD2" w:rsidP="00186AD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1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27.10.2021 № 211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01.12.2021 № 5375.</w:t>
      </w:r>
    </w:p>
    <w:p w:rsidR="00186AD2" w:rsidRDefault="009C6087" w:rsidP="00186AD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</w:t>
      </w:r>
      <w:r w:rsidR="00186AD2">
        <w:rPr>
          <w:color w:val="000000"/>
          <w:sz w:val="26"/>
          <w:szCs w:val="26"/>
          <w:lang w:bidi="ru-RU"/>
        </w:rPr>
        <w:t xml:space="preserve">от </w:t>
      </w:r>
      <w:r w:rsidR="00326F05">
        <w:rPr>
          <w:color w:val="000000"/>
          <w:sz w:val="26"/>
          <w:szCs w:val="26"/>
          <w:lang w:bidi="ru-RU"/>
        </w:rPr>
        <w:t>16.02.2022</w:t>
      </w:r>
      <w:r w:rsidR="008D718E">
        <w:rPr>
          <w:color w:val="000000"/>
          <w:sz w:val="26"/>
          <w:szCs w:val="26"/>
          <w:lang w:bidi="ru-RU"/>
        </w:rPr>
        <w:t xml:space="preserve"> № 5220599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86AD2" w:rsidRDefault="00186AD2" w:rsidP="00186AD2">
      <w:pPr>
        <w:jc w:val="both"/>
        <w:rPr>
          <w:color w:val="000000"/>
          <w:sz w:val="26"/>
          <w:szCs w:val="26"/>
          <w:lang w:bidi="ru-RU"/>
        </w:rPr>
      </w:pPr>
    </w:p>
    <w:p w:rsidR="00186AD2" w:rsidRPr="00441D18" w:rsidRDefault="00186AD2" w:rsidP="00186AD2">
      <w:pPr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</w:t>
      </w:r>
      <w:r>
        <w:rPr>
          <w:color w:val="000000"/>
          <w:sz w:val="26"/>
          <w:szCs w:val="26"/>
          <w:lang w:bidi="ru-RU"/>
        </w:rPr>
        <w:t xml:space="preserve">7.02.2021 № 21 и постановлением </w:t>
      </w:r>
      <w:r w:rsidRPr="00441D18">
        <w:rPr>
          <w:color w:val="000000"/>
          <w:sz w:val="26"/>
          <w:szCs w:val="26"/>
          <w:lang w:bidi="ru-RU"/>
        </w:rPr>
        <w:t>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904.</w:t>
      </w:r>
    </w:p>
    <w:p w:rsidR="00186AD2" w:rsidRDefault="00186AD2" w:rsidP="00186AD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23.09.2021 № 10354, от 03.11.2021 № 10487</w:t>
      </w:r>
      <w:r w:rsidRPr="00441D18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9C6087" w:rsidRPr="00441D18" w:rsidRDefault="009C6087" w:rsidP="009C6087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09.07.2021 № 10103 по продаже не состоялся в связи с отсутствием заявок, от 16.02.202</w:t>
      </w:r>
      <w:r w:rsidR="00326F05">
        <w:rPr>
          <w:color w:val="000000"/>
          <w:sz w:val="26"/>
          <w:szCs w:val="26"/>
          <w:lang w:bidi="ru-RU"/>
        </w:rPr>
        <w:t>2</w:t>
      </w:r>
      <w:r>
        <w:rPr>
          <w:color w:val="000000"/>
          <w:sz w:val="26"/>
          <w:szCs w:val="26"/>
          <w:lang w:bidi="ru-RU"/>
        </w:rPr>
        <w:t xml:space="preserve"> № 5220599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9C6087" w:rsidRDefault="009C6087" w:rsidP="00186AD2">
      <w:pPr>
        <w:jc w:val="both"/>
        <w:rPr>
          <w:color w:val="000000"/>
          <w:sz w:val="26"/>
          <w:szCs w:val="26"/>
          <w:lang w:bidi="ru-RU"/>
        </w:rPr>
      </w:pPr>
    </w:p>
    <w:p w:rsidR="00186AD2" w:rsidRPr="00253284" w:rsidRDefault="00186AD2" w:rsidP="00186AD2">
      <w:pPr>
        <w:tabs>
          <w:tab w:val="num" w:pos="0"/>
        </w:tabs>
        <w:ind w:firstLine="567"/>
        <w:jc w:val="both"/>
        <w:rPr>
          <w:b/>
          <w:sz w:val="28"/>
          <w:szCs w:val="28"/>
          <w:u w:val="single"/>
        </w:rPr>
      </w:pPr>
    </w:p>
    <w:p w:rsidR="00186AD2" w:rsidRDefault="00186AD2" w:rsidP="00186AD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Pr="00441D18">
        <w:rPr>
          <w:color w:val="000000"/>
          <w:sz w:val="26"/>
          <w:szCs w:val="26"/>
          <w:u w:val="single"/>
          <w:lang w:bidi="ru-RU"/>
        </w:rPr>
        <w:t xml:space="preserve">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 xml:space="preserve">24.11.2021 № 239 и постановлением </w:t>
      </w:r>
      <w:r w:rsidRPr="00441D18">
        <w:rPr>
          <w:color w:val="000000"/>
          <w:sz w:val="26"/>
          <w:szCs w:val="26"/>
          <w:lang w:bidi="ru-RU"/>
        </w:rPr>
        <w:t>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23.12.2021 № 5894.</w:t>
      </w:r>
    </w:p>
    <w:p w:rsidR="009C6087" w:rsidRDefault="00326F05" w:rsidP="00186AD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 от 16.02.2022</w:t>
      </w:r>
      <w:r w:rsidR="009C6087">
        <w:rPr>
          <w:color w:val="000000"/>
          <w:sz w:val="26"/>
          <w:szCs w:val="26"/>
          <w:lang w:bidi="ru-RU"/>
        </w:rPr>
        <w:t xml:space="preserve"> № 5220599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86AD2" w:rsidRPr="00F01F1D" w:rsidRDefault="00186AD2" w:rsidP="00186AD2">
      <w:pPr>
        <w:jc w:val="both"/>
        <w:rPr>
          <w:color w:val="000000"/>
          <w:sz w:val="26"/>
          <w:szCs w:val="26"/>
          <w:lang w:bidi="ru-RU"/>
        </w:rPr>
      </w:pPr>
    </w:p>
    <w:p w:rsidR="00186AD2" w:rsidRPr="00441D18" w:rsidRDefault="00186AD2" w:rsidP="00186AD2">
      <w:pPr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постановлением</w:t>
      </w:r>
      <w:r w:rsidRPr="00441D18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19.02.2021 № 625.</w:t>
      </w:r>
    </w:p>
    <w:p w:rsidR="009A4551" w:rsidRDefault="00186AD2" w:rsidP="00186AD2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 w:rsidRPr="00441D18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23.09.2021 № 10354, от 03.11.2021 № 10487</w:t>
      </w:r>
      <w:r w:rsidRPr="00441D18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9C6087" w:rsidRDefault="009C6087" w:rsidP="009C6087">
      <w:pPr>
        <w:pStyle w:val="a3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Аукционы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09.07.2021 № 10103 по продаже не состоялся в связи с о</w:t>
      </w:r>
      <w:r w:rsidR="00326F05">
        <w:rPr>
          <w:color w:val="000000"/>
          <w:sz w:val="26"/>
          <w:szCs w:val="26"/>
          <w:lang w:bidi="ru-RU"/>
        </w:rPr>
        <w:t>тсутствием заявок, от 16.02.2022</w:t>
      </w:r>
      <w:r>
        <w:rPr>
          <w:color w:val="000000"/>
          <w:sz w:val="26"/>
          <w:szCs w:val="26"/>
          <w:lang w:bidi="ru-RU"/>
        </w:rPr>
        <w:t xml:space="preserve"> № 5220599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9C6087" w:rsidRDefault="009C6087" w:rsidP="00723DF9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9A4551">
        <w:rPr>
          <w:rFonts w:eastAsia="Calibri"/>
          <w:sz w:val="26"/>
          <w:szCs w:val="26"/>
        </w:rPr>
        <w:t xml:space="preserve"> </w:t>
      </w:r>
      <w:r w:rsidR="00D85F76">
        <w:rPr>
          <w:rFonts w:eastAsia="Calibri"/>
          <w:sz w:val="26"/>
          <w:szCs w:val="26"/>
        </w:rPr>
        <w:t>24</w:t>
      </w:r>
      <w:r w:rsidR="00921942">
        <w:rPr>
          <w:rFonts w:eastAsia="Calibri"/>
          <w:sz w:val="26"/>
          <w:szCs w:val="26"/>
        </w:rPr>
        <w:t>.02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9A4551">
        <w:rPr>
          <w:rFonts w:eastAsia="Calibri"/>
          <w:sz w:val="26"/>
          <w:szCs w:val="26"/>
        </w:rPr>
        <w:t xml:space="preserve"> </w:t>
      </w:r>
      <w:r w:rsidR="00D85F76">
        <w:rPr>
          <w:rFonts w:eastAsia="Calibri"/>
          <w:sz w:val="26"/>
          <w:szCs w:val="26"/>
        </w:rPr>
        <w:t>30</w:t>
      </w:r>
      <w:r w:rsidR="00921942">
        <w:rPr>
          <w:rFonts w:eastAsia="Calibri"/>
          <w:sz w:val="26"/>
          <w:szCs w:val="26"/>
        </w:rPr>
        <w:t>.03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9A4551">
        <w:rPr>
          <w:sz w:val="26"/>
          <w:szCs w:val="26"/>
        </w:rPr>
        <w:t xml:space="preserve"> </w:t>
      </w:r>
      <w:r w:rsidR="00D85F76">
        <w:rPr>
          <w:sz w:val="26"/>
          <w:szCs w:val="26"/>
        </w:rPr>
        <w:t>30</w:t>
      </w:r>
      <w:r w:rsidR="00921942">
        <w:rPr>
          <w:sz w:val="26"/>
          <w:szCs w:val="26"/>
        </w:rPr>
        <w:t>.03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A4551">
        <w:rPr>
          <w:rFonts w:eastAsia="Calibri"/>
          <w:sz w:val="26"/>
          <w:szCs w:val="26"/>
        </w:rPr>
        <w:t xml:space="preserve"> </w:t>
      </w:r>
      <w:r w:rsidR="00D85F76">
        <w:rPr>
          <w:rFonts w:eastAsia="Calibri"/>
          <w:sz w:val="26"/>
          <w:szCs w:val="26"/>
        </w:rPr>
        <w:t>05</w:t>
      </w:r>
      <w:r w:rsidR="00921942">
        <w:rPr>
          <w:rFonts w:eastAsia="Calibri"/>
          <w:sz w:val="26"/>
          <w:szCs w:val="26"/>
        </w:rPr>
        <w:t>.04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9A4551">
        <w:rPr>
          <w:rFonts w:eastAsia="Calibri"/>
          <w:b/>
          <w:sz w:val="30"/>
          <w:szCs w:val="30"/>
          <w:u w:val="single"/>
        </w:rPr>
        <w:t xml:space="preserve"> </w:t>
      </w:r>
      <w:r w:rsidR="00921942">
        <w:rPr>
          <w:rFonts w:eastAsia="Calibri"/>
          <w:b/>
          <w:sz w:val="30"/>
          <w:szCs w:val="30"/>
          <w:u w:val="single"/>
        </w:rPr>
        <w:t>0</w:t>
      </w:r>
      <w:r w:rsidR="00D85F76">
        <w:rPr>
          <w:rFonts w:eastAsia="Calibri"/>
          <w:b/>
          <w:sz w:val="30"/>
          <w:szCs w:val="30"/>
          <w:u w:val="single"/>
        </w:rPr>
        <w:t>6</w:t>
      </w:r>
      <w:r w:rsidR="00921942">
        <w:rPr>
          <w:rFonts w:eastAsia="Calibri"/>
          <w:b/>
          <w:sz w:val="30"/>
          <w:szCs w:val="30"/>
          <w:u w:val="single"/>
        </w:rPr>
        <w:t>.04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21942" w:rsidRDefault="0092194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</w:t>
      </w:r>
      <w:r w:rsidR="00AC7404" w:rsidRPr="00FE2A2E">
        <w:rPr>
          <w:rFonts w:eastAsia="Calibri"/>
          <w:bCs/>
          <w:color w:val="000000"/>
          <w:sz w:val="26"/>
          <w:szCs w:val="26"/>
        </w:rPr>
        <w:lastRenderedPageBreak/>
        <w:t xml:space="preserve">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6428D4" w:rsidRPr="006428D4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6428D4">
        <w:rPr>
          <w:spacing w:val="-3"/>
          <w:sz w:val="26"/>
          <w:szCs w:val="26"/>
        </w:rPr>
      </w:r>
      <w:r w:rsidR="006428D4">
        <w:rPr>
          <w:spacing w:val="-3"/>
          <w:sz w:val="26"/>
          <w:szCs w:val="26"/>
        </w:rPr>
        <w:fldChar w:fldCharType="separate"/>
      </w:r>
      <w:r w:rsidR="006428D4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42" w:rsidRDefault="00921942" w:rsidP="00D42863">
      <w:r>
        <w:separator/>
      </w:r>
    </w:p>
  </w:endnote>
  <w:endnote w:type="continuationSeparator" w:id="0">
    <w:p w:rsidR="00921942" w:rsidRDefault="00921942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42" w:rsidRDefault="00921942" w:rsidP="00D42863">
      <w:r>
        <w:separator/>
      </w:r>
    </w:p>
  </w:footnote>
  <w:footnote w:type="continuationSeparator" w:id="0">
    <w:p w:rsidR="00921942" w:rsidRDefault="00921942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42" w:rsidRDefault="006428D4">
    <w:pPr>
      <w:pStyle w:val="ab"/>
      <w:jc w:val="center"/>
    </w:pPr>
    <w:fldSimple w:instr=" PAGE   \* MERGEFORMAT ">
      <w:r w:rsidR="00230E9A">
        <w:rPr>
          <w:noProof/>
        </w:rPr>
        <w:t>2</w:t>
      </w:r>
    </w:fldSimple>
  </w:p>
  <w:p w:rsidR="00921942" w:rsidRDefault="009219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AD2"/>
    <w:rsid w:val="00186E66"/>
    <w:rsid w:val="00190151"/>
    <w:rsid w:val="001903CD"/>
    <w:rsid w:val="00190B18"/>
    <w:rsid w:val="00191F28"/>
    <w:rsid w:val="00192F40"/>
    <w:rsid w:val="001932F9"/>
    <w:rsid w:val="00193963"/>
    <w:rsid w:val="0019466D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0E9A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26F05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28D4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18E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1942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551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087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16F9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745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29"/>
    <w:rsid w:val="00D76A42"/>
    <w:rsid w:val="00D7720A"/>
    <w:rsid w:val="00D77944"/>
    <w:rsid w:val="00D83B8D"/>
    <w:rsid w:val="00D849DC"/>
    <w:rsid w:val="00D849E6"/>
    <w:rsid w:val="00D852E5"/>
    <w:rsid w:val="00D85CCF"/>
    <w:rsid w:val="00D85F76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358FA-908E-4AF2-9821-DB8C7494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5655</Words>
  <Characters>41841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47402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6</cp:revision>
  <cp:lastPrinted>2022-02-22T07:23:00Z</cp:lastPrinted>
  <dcterms:created xsi:type="dcterms:W3CDTF">2022-02-16T13:50:00Z</dcterms:created>
  <dcterms:modified xsi:type="dcterms:W3CDTF">2022-02-22T08:45:00Z</dcterms:modified>
</cp:coreProperties>
</file>