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4A165B">
        <w:rPr>
          <w:b/>
          <w:color w:val="000000"/>
          <w:sz w:val="26"/>
          <w:szCs w:val="26"/>
        </w:rPr>
        <w:t>2</w:t>
      </w:r>
      <w:r w:rsidR="00CE19F4">
        <w:rPr>
          <w:b/>
          <w:color w:val="000000"/>
          <w:sz w:val="26"/>
          <w:szCs w:val="26"/>
        </w:rPr>
        <w:t>2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1E4024">
        <w:rPr>
          <w:b/>
          <w:sz w:val="30"/>
          <w:szCs w:val="30"/>
          <w:u w:val="single"/>
        </w:rPr>
        <w:t>13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1E4024">
        <w:rPr>
          <w:b/>
          <w:sz w:val="30"/>
          <w:szCs w:val="30"/>
          <w:u w:val="single"/>
        </w:rPr>
        <w:t>мая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CE19F4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  <w:lang w:val="en-US" w:eastAsia="en-US" w:bidi="en-US"/>
              </w:rPr>
              <w:t>№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лот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Наименование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Местонахождение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Общая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площадь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объекта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кв</w:t>
            </w:r>
            <w:proofErr w:type="gramStart"/>
            <w:r w:rsidRPr="00CE19F4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Начальная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цена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объекта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11pt"/>
                <w:sz w:val="26"/>
                <w:szCs w:val="26"/>
              </w:rPr>
              <w:t>(руб.)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Задаток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11pt"/>
                <w:sz w:val="26"/>
                <w:szCs w:val="26"/>
              </w:rPr>
              <w:t>(руб.)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Шаг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"/>
              </w:rPr>
              <w:t>аукциона</w:t>
            </w:r>
          </w:p>
          <w:p w:rsidR="005D6A1C" w:rsidRPr="00CE19F4" w:rsidRDefault="005D6A1C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CE19F4" w:rsidRPr="00CE19F4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E19F4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Нежилое помещение</w:t>
            </w:r>
          </w:p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(этаж №3)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г</w:t>
            </w:r>
            <w:proofErr w:type="gramStart"/>
            <w:r w:rsidRPr="00CE19F4">
              <w:rPr>
                <w:sz w:val="26"/>
                <w:szCs w:val="26"/>
              </w:rPr>
              <w:t>.Н</w:t>
            </w:r>
            <w:proofErr w:type="gramEnd"/>
            <w:r w:rsidRPr="00CE19F4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CE19F4">
              <w:rPr>
                <w:sz w:val="26"/>
                <w:szCs w:val="26"/>
              </w:rPr>
              <w:t>Сормовский</w:t>
            </w:r>
            <w:proofErr w:type="spellEnd"/>
            <w:r w:rsidRPr="00CE19F4">
              <w:rPr>
                <w:sz w:val="26"/>
                <w:szCs w:val="26"/>
              </w:rPr>
              <w:t xml:space="preserve"> район, ул.Коновалова, д.9, помещение П16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52:18:0010525:1997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37,8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1981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1 007 748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C12F7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12F7">
              <w:rPr>
                <w:b/>
                <w:sz w:val="26"/>
                <w:szCs w:val="26"/>
              </w:rPr>
              <w:t>549,6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C12F7">
              <w:rPr>
                <w:b/>
                <w:sz w:val="26"/>
                <w:szCs w:val="26"/>
              </w:rPr>
              <w:t>50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12F7">
              <w:rPr>
                <w:b/>
                <w:sz w:val="26"/>
                <w:szCs w:val="26"/>
              </w:rPr>
              <w:t>387,4</w:t>
            </w:r>
          </w:p>
        </w:tc>
      </w:tr>
      <w:tr w:rsidR="00CE19F4" w:rsidRPr="00CE19F4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E19F4"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Нежилое помещение</w:t>
            </w:r>
          </w:p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(этаж №3)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г</w:t>
            </w:r>
            <w:proofErr w:type="gramStart"/>
            <w:r w:rsidRPr="00CE19F4">
              <w:rPr>
                <w:sz w:val="26"/>
                <w:szCs w:val="26"/>
              </w:rPr>
              <w:t>.Н</w:t>
            </w:r>
            <w:proofErr w:type="gramEnd"/>
            <w:r w:rsidRPr="00CE19F4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CE19F4">
              <w:rPr>
                <w:sz w:val="26"/>
                <w:szCs w:val="26"/>
              </w:rPr>
              <w:t>Сормовский</w:t>
            </w:r>
            <w:proofErr w:type="spellEnd"/>
            <w:r w:rsidRPr="00CE19F4">
              <w:rPr>
                <w:sz w:val="26"/>
                <w:szCs w:val="26"/>
              </w:rPr>
              <w:t xml:space="preserve"> район, ул.Коновалова, д.9, помещение П17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52:18:0010525:1998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31,1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1981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852 451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C12F7">
              <w:rPr>
                <w:b/>
                <w:sz w:val="26"/>
                <w:szCs w:val="26"/>
              </w:rPr>
              <w:t>170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12F7">
              <w:rPr>
                <w:b/>
                <w:sz w:val="26"/>
                <w:szCs w:val="26"/>
              </w:rPr>
              <w:t>490,2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C12F7">
              <w:rPr>
                <w:b/>
                <w:sz w:val="26"/>
                <w:szCs w:val="26"/>
              </w:rPr>
              <w:t>42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12F7">
              <w:rPr>
                <w:b/>
                <w:sz w:val="26"/>
                <w:szCs w:val="26"/>
              </w:rPr>
              <w:t>622,55</w:t>
            </w:r>
          </w:p>
        </w:tc>
      </w:tr>
      <w:tr w:rsidR="00CE19F4" w:rsidRPr="00CE19F4" w:rsidTr="00435284">
        <w:trPr>
          <w:trHeight w:hRule="exact" w:val="281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E19F4"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Нежилое помещение</w:t>
            </w:r>
          </w:p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г</w:t>
            </w:r>
            <w:proofErr w:type="gramStart"/>
            <w:r w:rsidRPr="00CE19F4">
              <w:rPr>
                <w:sz w:val="26"/>
                <w:szCs w:val="26"/>
              </w:rPr>
              <w:t>.Н</w:t>
            </w:r>
            <w:proofErr w:type="gramEnd"/>
            <w:r w:rsidRPr="00CE19F4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CE19F4">
              <w:rPr>
                <w:sz w:val="26"/>
                <w:szCs w:val="26"/>
              </w:rPr>
              <w:t>Сормовский</w:t>
            </w:r>
            <w:proofErr w:type="spellEnd"/>
            <w:r w:rsidRPr="00CE19F4">
              <w:rPr>
                <w:sz w:val="26"/>
                <w:szCs w:val="26"/>
              </w:rPr>
              <w:t xml:space="preserve"> район, ул.Коновалова, д.9, помещение П18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52:18:0010525:2003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32,8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1981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E19F4" w:rsidRPr="00CE19F4" w:rsidRDefault="00CE19F4" w:rsidP="00CE19F4">
            <w:pPr>
              <w:ind w:left="57" w:right="57"/>
              <w:jc w:val="center"/>
              <w:rPr>
                <w:sz w:val="26"/>
                <w:szCs w:val="26"/>
              </w:rPr>
            </w:pPr>
            <w:r w:rsidRPr="00CE19F4">
              <w:rPr>
                <w:sz w:val="26"/>
                <w:szCs w:val="26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891 832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C12F7">
              <w:rPr>
                <w:b/>
                <w:sz w:val="26"/>
                <w:szCs w:val="26"/>
              </w:rPr>
              <w:t>178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12F7">
              <w:rPr>
                <w:b/>
                <w:sz w:val="26"/>
                <w:szCs w:val="26"/>
              </w:rPr>
              <w:t>366,4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E19F4" w:rsidRPr="00CE19F4" w:rsidRDefault="009C12F7" w:rsidP="00CE19F4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C12F7">
              <w:rPr>
                <w:b/>
                <w:sz w:val="26"/>
                <w:szCs w:val="26"/>
              </w:rPr>
              <w:t>44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12F7">
              <w:rPr>
                <w:b/>
                <w:sz w:val="26"/>
                <w:szCs w:val="26"/>
              </w:rPr>
              <w:t>591,6</w:t>
            </w:r>
          </w:p>
        </w:tc>
      </w:tr>
    </w:tbl>
    <w:p w:rsidR="00965F02" w:rsidRDefault="00965F02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97621" w:rsidRDefault="00697621" w:rsidP="0092194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A165B" w:rsidRPr="0013139B" w:rsidRDefault="00CE19F4" w:rsidP="004A165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По лоту </w:t>
      </w:r>
      <w:r w:rsidR="004A165B">
        <w:rPr>
          <w:color w:val="000000"/>
          <w:sz w:val="26"/>
          <w:szCs w:val="26"/>
          <w:u w:val="single"/>
        </w:rPr>
        <w:t>№</w:t>
      </w:r>
      <w:r w:rsidR="004A165B" w:rsidRPr="00355DE5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1</w:t>
      </w:r>
      <w:r w:rsidR="004A165B"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 w:rsidR="004A165B">
        <w:rPr>
          <w:color w:val="000000"/>
          <w:sz w:val="26"/>
          <w:szCs w:val="26"/>
        </w:rPr>
        <w:t xml:space="preserve">от 27.01.2021 № 2 </w:t>
      </w:r>
      <w:r w:rsidR="004A165B" w:rsidRPr="0013139B">
        <w:rPr>
          <w:color w:val="000000"/>
          <w:sz w:val="26"/>
          <w:szCs w:val="26"/>
        </w:rPr>
        <w:t>и постановлени</w:t>
      </w:r>
      <w:r w:rsidR="004A165B">
        <w:rPr>
          <w:color w:val="000000"/>
          <w:sz w:val="26"/>
          <w:szCs w:val="26"/>
        </w:rPr>
        <w:t>ем</w:t>
      </w:r>
      <w:r w:rsidR="004A165B"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 w:rsidR="004A165B">
        <w:rPr>
          <w:color w:val="000000"/>
          <w:sz w:val="26"/>
          <w:szCs w:val="26"/>
        </w:rPr>
        <w:t xml:space="preserve"> 12.02.2021 № 501.</w:t>
      </w:r>
    </w:p>
    <w:p w:rsidR="004A165B" w:rsidRDefault="004A165B" w:rsidP="004A165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13139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22.06.2021 № 9926, от 18.08.2021 № 10215 по продаже не состоялись</w:t>
      </w:r>
      <w:r w:rsidRPr="0013139B">
        <w:rPr>
          <w:color w:val="000000"/>
          <w:sz w:val="26"/>
          <w:szCs w:val="26"/>
        </w:rPr>
        <w:t xml:space="preserve"> в связи с отсутствием заявок.</w:t>
      </w:r>
    </w:p>
    <w:p w:rsidR="004A165B" w:rsidRDefault="004A165B" w:rsidP="004A165B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Продажи</w:t>
      </w:r>
      <w:r w:rsidRPr="0013139B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>от 14.10.2021 № 10425, от 24.11.2021 № 10570 не состоялись</w:t>
      </w:r>
      <w:r w:rsidRPr="0013139B">
        <w:rPr>
          <w:color w:val="000000"/>
          <w:sz w:val="26"/>
          <w:szCs w:val="26"/>
        </w:rPr>
        <w:t xml:space="preserve"> в связи с отсутствием заявок.</w:t>
      </w:r>
    </w:p>
    <w:p w:rsidR="00CE19F4" w:rsidRDefault="00CE19F4" w:rsidP="004A165B">
      <w:pPr>
        <w:pStyle w:val="a3"/>
        <w:rPr>
          <w:color w:val="000000"/>
          <w:sz w:val="26"/>
          <w:szCs w:val="26"/>
        </w:rPr>
      </w:pPr>
    </w:p>
    <w:p w:rsidR="00CE19F4" w:rsidRPr="00811F90" w:rsidRDefault="00CE19F4" w:rsidP="00CE19F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 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№ </w:t>
      </w:r>
      <w:r>
        <w:rPr>
          <w:color w:val="000000"/>
          <w:sz w:val="26"/>
          <w:szCs w:val="26"/>
          <w:u w:val="single"/>
          <w:lang w:bidi="ru-RU"/>
        </w:rPr>
        <w:t>2-3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>от 27</w:t>
      </w:r>
      <w:r w:rsidRPr="00811F90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11F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11F90">
        <w:rPr>
          <w:sz w:val="26"/>
          <w:szCs w:val="26"/>
        </w:rPr>
        <w:t xml:space="preserve"> № </w:t>
      </w:r>
      <w:r>
        <w:rPr>
          <w:sz w:val="26"/>
          <w:szCs w:val="26"/>
        </w:rPr>
        <w:t>2 и постановлением</w:t>
      </w:r>
      <w:r w:rsidRPr="00811F90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 Нижнего Новгорода от 12.02</w:t>
      </w:r>
      <w:r w:rsidRPr="00811F90">
        <w:rPr>
          <w:sz w:val="26"/>
          <w:szCs w:val="26"/>
        </w:rPr>
        <w:t xml:space="preserve">.2021 № </w:t>
      </w:r>
      <w:r>
        <w:rPr>
          <w:sz w:val="26"/>
          <w:szCs w:val="26"/>
        </w:rPr>
        <w:t>501.</w:t>
      </w:r>
    </w:p>
    <w:p w:rsidR="00CE19F4" w:rsidRPr="0058055D" w:rsidRDefault="00CE19F4" w:rsidP="00CE19F4">
      <w:pPr>
        <w:jc w:val="both"/>
        <w:rPr>
          <w:sz w:val="26"/>
          <w:szCs w:val="26"/>
        </w:rPr>
      </w:pPr>
      <w:r w:rsidRPr="0058055D">
        <w:rPr>
          <w:sz w:val="26"/>
          <w:szCs w:val="26"/>
        </w:rPr>
        <w:t>Аукционы от 09.07.2021 № 10103</w:t>
      </w:r>
      <w:r>
        <w:rPr>
          <w:sz w:val="26"/>
          <w:szCs w:val="26"/>
        </w:rPr>
        <w:t>, от 20.08.2021 № 10242</w:t>
      </w:r>
      <w:r w:rsidRPr="0058055D">
        <w:rPr>
          <w:sz w:val="26"/>
          <w:szCs w:val="26"/>
        </w:rPr>
        <w:t xml:space="preserve"> по продаже не состоялись в связи с отсутствием заявок.</w:t>
      </w:r>
    </w:p>
    <w:p w:rsidR="00CE19F4" w:rsidRDefault="00CE19F4" w:rsidP="00CE19F4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Продажи</w:t>
      </w:r>
      <w:r w:rsidRPr="0058055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>от 14.10.2021 № 10425, от 29.11.2021 № 10576 не состоялись</w:t>
      </w:r>
      <w:r w:rsidRPr="0058055D">
        <w:rPr>
          <w:sz w:val="26"/>
          <w:szCs w:val="26"/>
        </w:rPr>
        <w:t xml:space="preserve"> в связи с отсутствием заявок.</w:t>
      </w:r>
    </w:p>
    <w:p w:rsidR="007C531E" w:rsidRDefault="007C531E" w:rsidP="007C531E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CE19F4">
        <w:rPr>
          <w:rFonts w:eastAsia="Calibri"/>
          <w:sz w:val="26"/>
          <w:szCs w:val="26"/>
        </w:rPr>
        <w:t xml:space="preserve"> </w:t>
      </w:r>
      <w:r w:rsidR="001E4024">
        <w:rPr>
          <w:rFonts w:eastAsia="Calibri"/>
          <w:sz w:val="26"/>
          <w:szCs w:val="26"/>
        </w:rPr>
        <w:t>23.03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4A165B">
        <w:rPr>
          <w:rFonts w:eastAsia="Calibri"/>
          <w:sz w:val="26"/>
          <w:szCs w:val="26"/>
        </w:rPr>
        <w:t xml:space="preserve"> </w:t>
      </w:r>
      <w:r w:rsidR="001E4024">
        <w:rPr>
          <w:rFonts w:eastAsia="Calibri"/>
          <w:sz w:val="26"/>
          <w:szCs w:val="26"/>
        </w:rPr>
        <w:t>04.05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CE19F4">
        <w:rPr>
          <w:sz w:val="26"/>
          <w:szCs w:val="26"/>
        </w:rPr>
        <w:t xml:space="preserve"> </w:t>
      </w:r>
      <w:r w:rsidR="001E4024">
        <w:rPr>
          <w:sz w:val="26"/>
          <w:szCs w:val="26"/>
        </w:rPr>
        <w:t>04.05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E19F4">
        <w:rPr>
          <w:rFonts w:eastAsia="Calibri"/>
          <w:sz w:val="26"/>
          <w:szCs w:val="26"/>
        </w:rPr>
        <w:t xml:space="preserve"> </w:t>
      </w:r>
      <w:r w:rsidR="001E4024">
        <w:rPr>
          <w:rFonts w:eastAsia="Calibri"/>
          <w:sz w:val="26"/>
          <w:szCs w:val="26"/>
        </w:rPr>
        <w:t>12.05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CE19F4">
        <w:rPr>
          <w:rFonts w:eastAsia="Calibri"/>
          <w:b/>
          <w:sz w:val="30"/>
          <w:szCs w:val="30"/>
          <w:u w:val="single"/>
        </w:rPr>
        <w:t xml:space="preserve"> </w:t>
      </w:r>
      <w:r w:rsidR="001E4024">
        <w:rPr>
          <w:rFonts w:eastAsia="Calibri"/>
          <w:b/>
          <w:sz w:val="30"/>
          <w:szCs w:val="30"/>
          <w:u w:val="single"/>
        </w:rPr>
        <w:t>13.05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21942" w:rsidRDefault="0092194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CE19F4" w:rsidRDefault="00CE19F4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извещает Претендентов об отказе Продавцов от проведения аукциона не позднее следующего рабочего дня со дня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 xml:space="preserve"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</w:t>
      </w:r>
      <w:r w:rsidRPr="00FE2A2E">
        <w:rPr>
          <w:sz w:val="26"/>
          <w:szCs w:val="26"/>
        </w:rPr>
        <w:lastRenderedPageBreak/>
        <w:t>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</w:t>
      </w:r>
      <w:r w:rsidRPr="00FE2A2E">
        <w:rPr>
          <w:spacing w:val="-3"/>
          <w:sz w:val="26"/>
          <w:szCs w:val="26"/>
        </w:rPr>
        <w:lastRenderedPageBreak/>
        <w:t xml:space="preserve">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1258A4" w:rsidRPr="001258A4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1258A4">
        <w:rPr>
          <w:spacing w:val="-3"/>
          <w:sz w:val="26"/>
          <w:szCs w:val="26"/>
        </w:rPr>
      </w:r>
      <w:r w:rsidR="001258A4">
        <w:rPr>
          <w:spacing w:val="-3"/>
          <w:sz w:val="26"/>
          <w:szCs w:val="26"/>
        </w:rPr>
        <w:fldChar w:fldCharType="separate"/>
      </w:r>
      <w:r w:rsidR="001258A4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42942">
      <w:headerReference w:type="default" r:id="rId12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24" w:rsidRDefault="001E4024" w:rsidP="00D42863">
      <w:r>
        <w:separator/>
      </w:r>
    </w:p>
  </w:endnote>
  <w:endnote w:type="continuationSeparator" w:id="0">
    <w:p w:rsidR="001E4024" w:rsidRDefault="001E4024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24" w:rsidRDefault="001E4024" w:rsidP="00D42863">
      <w:r>
        <w:separator/>
      </w:r>
    </w:p>
  </w:footnote>
  <w:footnote w:type="continuationSeparator" w:id="0">
    <w:p w:rsidR="001E4024" w:rsidRDefault="001E4024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24" w:rsidRDefault="001258A4">
    <w:pPr>
      <w:pStyle w:val="ab"/>
      <w:jc w:val="center"/>
    </w:pPr>
    <w:fldSimple w:instr=" PAGE   \* MERGEFORMAT ">
      <w:r w:rsidR="00B81CBD">
        <w:rPr>
          <w:noProof/>
        </w:rPr>
        <w:t>17</w:t>
      </w:r>
    </w:fldSimple>
  </w:p>
  <w:p w:rsidR="001E4024" w:rsidRDefault="001E40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B48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0627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537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D7062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58A4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99F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AD2"/>
    <w:rsid w:val="00186E66"/>
    <w:rsid w:val="00190151"/>
    <w:rsid w:val="001903CD"/>
    <w:rsid w:val="00190B18"/>
    <w:rsid w:val="00191F28"/>
    <w:rsid w:val="00192F40"/>
    <w:rsid w:val="001932F9"/>
    <w:rsid w:val="00193963"/>
    <w:rsid w:val="0019466D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5FDF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024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C46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637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26F05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6C89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A24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1794B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284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65B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0349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136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9CA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4E2E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57AC9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97355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05E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621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6995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17D2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5D05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824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94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1B7C"/>
    <w:rsid w:val="007A2140"/>
    <w:rsid w:val="007A34A6"/>
    <w:rsid w:val="007A496B"/>
    <w:rsid w:val="007A4A8A"/>
    <w:rsid w:val="007A5ACE"/>
    <w:rsid w:val="007A5F67"/>
    <w:rsid w:val="007A6BB4"/>
    <w:rsid w:val="007A6D43"/>
    <w:rsid w:val="007B0E36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31E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57C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18E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1942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F0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3FC4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BFD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1EB6"/>
    <w:rsid w:val="009A219C"/>
    <w:rsid w:val="009A2B3A"/>
    <w:rsid w:val="009A32D6"/>
    <w:rsid w:val="009A3B14"/>
    <w:rsid w:val="009A4551"/>
    <w:rsid w:val="009A4ACB"/>
    <w:rsid w:val="009A71B4"/>
    <w:rsid w:val="009A7314"/>
    <w:rsid w:val="009A7AD1"/>
    <w:rsid w:val="009B0C44"/>
    <w:rsid w:val="009B18F1"/>
    <w:rsid w:val="009B2099"/>
    <w:rsid w:val="009B2963"/>
    <w:rsid w:val="009B2E83"/>
    <w:rsid w:val="009B3411"/>
    <w:rsid w:val="009B384E"/>
    <w:rsid w:val="009B3D3C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2F7"/>
    <w:rsid w:val="009C1708"/>
    <w:rsid w:val="009C3AF3"/>
    <w:rsid w:val="009C4F5E"/>
    <w:rsid w:val="009C50DD"/>
    <w:rsid w:val="009C6087"/>
    <w:rsid w:val="009C68DC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0B54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3C62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5A7B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1CBD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368B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088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1F64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27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9F4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105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55F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29"/>
    <w:rsid w:val="00D76A42"/>
    <w:rsid w:val="00D7720A"/>
    <w:rsid w:val="00D77944"/>
    <w:rsid w:val="00D83B8D"/>
    <w:rsid w:val="00D849DC"/>
    <w:rsid w:val="00D849E6"/>
    <w:rsid w:val="00D852E5"/>
    <w:rsid w:val="00D85CCF"/>
    <w:rsid w:val="00D85F76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0DA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976"/>
    <w:rsid w:val="00E91B4E"/>
    <w:rsid w:val="00E91C8C"/>
    <w:rsid w:val="00E92277"/>
    <w:rsid w:val="00E92A3F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4EB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D72D3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B0E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87A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B7E2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282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2F92-5B9B-4789-AC32-DF504076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5361</Words>
  <Characters>40174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45445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6</cp:revision>
  <cp:lastPrinted>2022-03-21T14:46:00Z</cp:lastPrinted>
  <dcterms:created xsi:type="dcterms:W3CDTF">2022-03-18T13:41:00Z</dcterms:created>
  <dcterms:modified xsi:type="dcterms:W3CDTF">2022-03-22T08:06:00Z</dcterms:modified>
</cp:coreProperties>
</file>